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9CC19" w14:textId="74C3C058" w:rsidR="003548A5" w:rsidRPr="003548A5" w:rsidRDefault="000B1EF4" w:rsidP="00794E34">
      <w:pPr>
        <w:spacing w:after="0" w:line="240" w:lineRule="auto"/>
        <w:ind w:right="113"/>
        <w:rPr>
          <w:rFonts w:ascii="Verdana" w:eastAsia="Times New Roman" w:hAnsi="Verdana" w:cs="Times New Roman"/>
          <w:b/>
          <w:sz w:val="24"/>
          <w:szCs w:val="24"/>
          <w:lang w:val="en" w:eastAsia="en-GB"/>
        </w:rPr>
      </w:pPr>
      <w:r>
        <w:rPr>
          <w:rFonts w:ascii="Verdana" w:eastAsia="Times New Roman" w:hAnsi="Verdana" w:cs="Times New Roman"/>
          <w:b/>
          <w:noProof/>
          <w:sz w:val="24"/>
          <w:szCs w:val="24"/>
          <w:lang w:eastAsia="en-GB"/>
        </w:rPr>
        <w:drawing>
          <wp:anchor distT="0" distB="0" distL="114300" distR="114300" simplePos="0" relativeHeight="251658240" behindDoc="0" locked="0" layoutInCell="1" allowOverlap="1" wp14:anchorId="0522F59B" wp14:editId="07E0DAC5">
            <wp:simplePos x="0" y="0"/>
            <wp:positionH relativeFrom="column">
              <wp:posOffset>-713343</wp:posOffset>
            </wp:positionH>
            <wp:positionV relativeFrom="page">
              <wp:posOffset>0</wp:posOffset>
            </wp:positionV>
            <wp:extent cx="7558405" cy="2621915"/>
            <wp:effectExtent l="0" t="0" r="4445" b="6985"/>
            <wp:wrapSquare wrapText="bothSides"/>
            <wp:docPr id="2" name="Picture 2" descr="C:\Users\may.laghzaoui\AppData\Local\Microsoft\Windows\INetCache\Content.Word\ETL-Cover-header-tempalte_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laghzaoui\AppData\Local\Microsoft\Windows\INetCache\Content.Word\ETL-Cover-header-tempalte_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2621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7D241" w14:textId="77777777" w:rsidR="009E3DB2" w:rsidRDefault="009E3DB2" w:rsidP="003548A5">
      <w:pPr>
        <w:spacing w:after="0" w:line="240" w:lineRule="auto"/>
        <w:ind w:right="113"/>
        <w:jc w:val="center"/>
        <w:rPr>
          <w:rFonts w:ascii="Verdana" w:eastAsia="Times New Roman" w:hAnsi="Verdana" w:cs="Times New Roman"/>
          <w:b/>
          <w:sz w:val="24"/>
          <w:szCs w:val="24"/>
          <w:lang w:val="en" w:eastAsia="en-GB"/>
        </w:rPr>
      </w:pPr>
    </w:p>
    <w:p w14:paraId="22253975" w14:textId="7D4AE4C5" w:rsidR="009E3DB2" w:rsidRDefault="009E3DB2" w:rsidP="00DB4D64">
      <w:pPr>
        <w:spacing w:after="0" w:line="240" w:lineRule="auto"/>
        <w:ind w:right="113"/>
        <w:rPr>
          <w:rFonts w:ascii="Verdana" w:eastAsia="Times New Roman" w:hAnsi="Verdana" w:cs="Times New Roman"/>
          <w:b/>
          <w:sz w:val="24"/>
          <w:szCs w:val="24"/>
          <w:lang w:val="en" w:eastAsia="en-GB"/>
        </w:rPr>
      </w:pPr>
    </w:p>
    <w:p w14:paraId="091A11A7" w14:textId="77777777" w:rsidR="009E3DB2" w:rsidRPr="009E3DB2" w:rsidRDefault="009E3DB2" w:rsidP="003548A5">
      <w:pPr>
        <w:spacing w:after="0" w:line="240" w:lineRule="auto"/>
        <w:ind w:right="113"/>
        <w:jc w:val="center"/>
        <w:rPr>
          <w:rFonts w:ascii="Verdana" w:eastAsia="Times New Roman" w:hAnsi="Verdana" w:cs="Times New Roman"/>
          <w:b/>
          <w:sz w:val="36"/>
          <w:szCs w:val="24"/>
          <w:lang w:val="en" w:eastAsia="en-GB"/>
        </w:rPr>
      </w:pPr>
    </w:p>
    <w:p w14:paraId="4823E678" w14:textId="77777777" w:rsidR="009E3DB2" w:rsidRPr="009E3DB2" w:rsidRDefault="009E3DB2" w:rsidP="003548A5">
      <w:pPr>
        <w:spacing w:after="0" w:line="240" w:lineRule="auto"/>
        <w:ind w:right="113"/>
        <w:jc w:val="center"/>
        <w:rPr>
          <w:rFonts w:ascii="Verdana" w:eastAsia="Times New Roman" w:hAnsi="Verdana" w:cs="Times New Roman"/>
          <w:b/>
          <w:color w:val="002060"/>
          <w:sz w:val="36"/>
          <w:szCs w:val="24"/>
          <w:lang w:val="en" w:eastAsia="en-GB"/>
        </w:rPr>
      </w:pPr>
    </w:p>
    <w:p w14:paraId="244D6947" w14:textId="77777777" w:rsidR="009E3DB2" w:rsidRPr="009E3DB2" w:rsidRDefault="003548A5" w:rsidP="009E3DB2">
      <w:pPr>
        <w:spacing w:after="0" w:line="360" w:lineRule="auto"/>
        <w:ind w:right="113"/>
        <w:jc w:val="center"/>
        <w:rPr>
          <w:rFonts w:ascii="Verdana" w:eastAsia="Times New Roman" w:hAnsi="Verdana" w:cs="Times New Roman"/>
          <w:b/>
          <w:color w:val="002060"/>
          <w:sz w:val="36"/>
          <w:szCs w:val="24"/>
          <w:lang w:val="en" w:eastAsia="en-GB"/>
        </w:rPr>
      </w:pPr>
      <w:r w:rsidRPr="009E3DB2">
        <w:rPr>
          <w:rFonts w:ascii="Verdana" w:eastAsia="Times New Roman" w:hAnsi="Verdana" w:cs="Times New Roman"/>
          <w:b/>
          <w:color w:val="002060"/>
          <w:sz w:val="36"/>
          <w:szCs w:val="24"/>
          <w:lang w:val="en" w:eastAsia="en-GB"/>
        </w:rPr>
        <w:t>Guidance Note 1</w:t>
      </w:r>
      <w:r w:rsidR="00B20C7D" w:rsidRPr="009E3DB2">
        <w:rPr>
          <w:rFonts w:ascii="Verdana" w:eastAsia="Times New Roman" w:hAnsi="Verdana" w:cs="Times New Roman"/>
          <w:b/>
          <w:color w:val="002060"/>
          <w:sz w:val="36"/>
          <w:szCs w:val="24"/>
          <w:lang w:val="en" w:eastAsia="en-GB"/>
        </w:rPr>
        <w:t>4:</w:t>
      </w:r>
      <w:r w:rsidRPr="009E3DB2">
        <w:rPr>
          <w:rFonts w:ascii="Verdana" w:eastAsia="Times New Roman" w:hAnsi="Verdana" w:cs="Times New Roman"/>
          <w:b/>
          <w:color w:val="002060"/>
          <w:sz w:val="36"/>
          <w:szCs w:val="24"/>
          <w:lang w:val="en" w:eastAsia="en-GB"/>
        </w:rPr>
        <w:t xml:space="preserve"> </w:t>
      </w:r>
    </w:p>
    <w:p w14:paraId="48CCA0E9" w14:textId="77777777" w:rsidR="009E3DB2" w:rsidRDefault="003548A5" w:rsidP="009E3DB2">
      <w:pPr>
        <w:spacing w:after="0" w:line="276" w:lineRule="auto"/>
        <w:ind w:right="113"/>
        <w:jc w:val="center"/>
        <w:rPr>
          <w:rFonts w:ascii="Verdana" w:eastAsia="Times New Roman" w:hAnsi="Verdana" w:cs="Times New Roman"/>
          <w:b/>
          <w:color w:val="002060"/>
          <w:sz w:val="36"/>
          <w:szCs w:val="24"/>
          <w:lang w:val="en" w:eastAsia="en-GB"/>
        </w:rPr>
      </w:pPr>
      <w:r w:rsidRPr="009E3DB2">
        <w:rPr>
          <w:rFonts w:ascii="Verdana" w:eastAsia="Times New Roman" w:hAnsi="Verdana" w:cs="Times New Roman"/>
          <w:b/>
          <w:color w:val="002060"/>
          <w:sz w:val="36"/>
          <w:szCs w:val="24"/>
          <w:lang w:val="en" w:eastAsia="en-GB"/>
        </w:rPr>
        <w:t xml:space="preserve">Automatic Monitoring &amp; Targeting </w:t>
      </w:r>
    </w:p>
    <w:p w14:paraId="6D45D57F" w14:textId="77777777" w:rsidR="003548A5" w:rsidRPr="009E3DB2" w:rsidRDefault="003548A5" w:rsidP="009E3DB2">
      <w:pPr>
        <w:spacing w:after="0" w:line="276" w:lineRule="auto"/>
        <w:ind w:right="113"/>
        <w:jc w:val="center"/>
        <w:rPr>
          <w:rFonts w:ascii="Verdana" w:eastAsia="Times New Roman" w:hAnsi="Verdana" w:cs="Times New Roman"/>
          <w:b/>
          <w:color w:val="002060"/>
          <w:sz w:val="36"/>
          <w:szCs w:val="24"/>
          <w:lang w:val="en" w:eastAsia="en-GB"/>
        </w:rPr>
      </w:pPr>
      <w:r w:rsidRPr="009E3DB2">
        <w:rPr>
          <w:rFonts w:ascii="Verdana" w:eastAsia="Times New Roman" w:hAnsi="Verdana" w:cs="Times New Roman"/>
          <w:b/>
          <w:color w:val="002060"/>
          <w:sz w:val="36"/>
          <w:szCs w:val="24"/>
          <w:lang w:val="en" w:eastAsia="en-GB"/>
        </w:rPr>
        <w:t>Sub-metering Systems</w:t>
      </w:r>
      <w:r w:rsidR="00461800" w:rsidRPr="009E3DB2">
        <w:rPr>
          <w:rFonts w:ascii="Verdana" w:eastAsia="Times New Roman" w:hAnsi="Verdana" w:cs="Times New Roman"/>
          <w:b/>
          <w:color w:val="002060"/>
          <w:sz w:val="36"/>
          <w:szCs w:val="24"/>
          <w:lang w:val="en" w:eastAsia="en-GB"/>
        </w:rPr>
        <w:t xml:space="preserve"> </w:t>
      </w:r>
      <w:r w:rsidR="00584835">
        <w:rPr>
          <w:rFonts w:ascii="Verdana" w:eastAsia="Times New Roman" w:hAnsi="Verdana" w:cs="Times New Roman"/>
          <w:b/>
          <w:color w:val="002060"/>
          <w:sz w:val="36"/>
          <w:szCs w:val="24"/>
          <w:lang w:val="en" w:eastAsia="en-GB"/>
        </w:rPr>
        <w:br/>
      </w:r>
      <w:r w:rsidR="00584835">
        <w:rPr>
          <w:rFonts w:ascii="Verdana" w:eastAsia="Times New Roman" w:hAnsi="Verdana" w:cs="Times New Roman"/>
          <w:b/>
          <w:color w:val="002060"/>
          <w:sz w:val="36"/>
          <w:szCs w:val="24"/>
          <w:lang w:val="en" w:eastAsia="en-GB"/>
        </w:rPr>
        <w:br/>
      </w:r>
      <w:r w:rsidR="00461800" w:rsidRPr="009E3DB2">
        <w:rPr>
          <w:rFonts w:ascii="Verdana" w:eastAsia="Times New Roman" w:hAnsi="Verdana" w:cs="Times New Roman"/>
          <w:b/>
          <w:color w:val="002060"/>
          <w:sz w:val="36"/>
          <w:szCs w:val="24"/>
          <w:lang w:val="en" w:eastAsia="en-GB"/>
        </w:rPr>
        <w:t>Checklist</w:t>
      </w:r>
      <w:r w:rsidR="00584835">
        <w:rPr>
          <w:rFonts w:ascii="Verdana" w:eastAsia="Times New Roman" w:hAnsi="Verdana" w:cs="Times New Roman"/>
          <w:b/>
          <w:color w:val="002060"/>
          <w:sz w:val="36"/>
          <w:szCs w:val="24"/>
          <w:lang w:val="en" w:eastAsia="en-GB"/>
        </w:rPr>
        <w:t xml:space="preserve"> </w:t>
      </w:r>
      <w:r w:rsidR="00461800" w:rsidRPr="009E3DB2">
        <w:rPr>
          <w:rFonts w:ascii="Verdana" w:eastAsia="Times New Roman" w:hAnsi="Verdana" w:cs="Times New Roman"/>
          <w:b/>
          <w:color w:val="002060"/>
          <w:sz w:val="36"/>
          <w:szCs w:val="24"/>
          <w:lang w:val="en" w:eastAsia="en-GB"/>
        </w:rPr>
        <w:t>and Statement template</w:t>
      </w:r>
    </w:p>
    <w:p w14:paraId="2B1C5496" w14:textId="77777777" w:rsidR="003548A5" w:rsidRPr="003548A5" w:rsidRDefault="003548A5" w:rsidP="003548A5">
      <w:pPr>
        <w:spacing w:after="0" w:line="240" w:lineRule="auto"/>
        <w:ind w:right="113"/>
        <w:jc w:val="center"/>
        <w:rPr>
          <w:rFonts w:ascii="Verdana" w:eastAsia="Times New Roman" w:hAnsi="Verdana" w:cs="Times New Roman"/>
          <w:b/>
          <w:sz w:val="24"/>
          <w:szCs w:val="24"/>
          <w:lang w:val="en" w:eastAsia="en-GB"/>
        </w:rPr>
      </w:pPr>
    </w:p>
    <w:p w14:paraId="78E5C43F" w14:textId="77777777" w:rsidR="003548A5" w:rsidRDefault="003548A5" w:rsidP="003548A5">
      <w:pPr>
        <w:spacing w:after="0" w:line="240" w:lineRule="auto"/>
        <w:ind w:right="113"/>
        <w:jc w:val="center"/>
        <w:rPr>
          <w:rFonts w:ascii="Verdana" w:eastAsia="Times New Roman" w:hAnsi="Verdana" w:cs="Times New Roman"/>
          <w:b/>
          <w:sz w:val="24"/>
          <w:szCs w:val="24"/>
          <w:lang w:val="en" w:eastAsia="en-GB"/>
        </w:rPr>
      </w:pPr>
    </w:p>
    <w:p w14:paraId="21A6A936" w14:textId="77777777" w:rsidR="009E3DB2" w:rsidRDefault="009E3DB2" w:rsidP="003548A5">
      <w:pPr>
        <w:spacing w:after="0" w:line="240" w:lineRule="auto"/>
        <w:ind w:right="113"/>
        <w:jc w:val="center"/>
        <w:rPr>
          <w:rFonts w:ascii="Verdana" w:eastAsia="Times New Roman" w:hAnsi="Verdana" w:cs="Times New Roman"/>
          <w:b/>
          <w:sz w:val="24"/>
          <w:szCs w:val="24"/>
          <w:lang w:val="en" w:eastAsia="en-GB"/>
        </w:rPr>
      </w:pPr>
    </w:p>
    <w:p w14:paraId="11B64E11" w14:textId="77777777" w:rsidR="009E3DB2" w:rsidRPr="003548A5" w:rsidRDefault="009E3DB2" w:rsidP="003548A5">
      <w:pPr>
        <w:spacing w:after="0" w:line="240" w:lineRule="auto"/>
        <w:ind w:right="113"/>
        <w:jc w:val="center"/>
        <w:rPr>
          <w:rFonts w:ascii="Verdana" w:eastAsia="Times New Roman" w:hAnsi="Verdana" w:cs="Times New Roman"/>
          <w:b/>
          <w:sz w:val="24"/>
          <w:szCs w:val="24"/>
          <w:lang w:val="en" w:eastAsia="en-GB"/>
        </w:rPr>
      </w:pPr>
    </w:p>
    <w:p w14:paraId="19DDA6AA" w14:textId="2492D7E8" w:rsidR="003548A5" w:rsidRDefault="003548A5" w:rsidP="003548A5">
      <w:pPr>
        <w:jc w:val="center"/>
        <w:rPr>
          <w:rFonts w:ascii="Verdana" w:eastAsia="Times New Roman" w:hAnsi="Verdana" w:cs="Times New Roman"/>
          <w:b/>
          <w:color w:val="00B0F0"/>
          <w:sz w:val="24"/>
          <w:szCs w:val="24"/>
          <w:lang w:val="en" w:eastAsia="en-GB"/>
        </w:rPr>
      </w:pPr>
      <w:r w:rsidRPr="009E3DB2">
        <w:rPr>
          <w:rFonts w:ascii="Verdana" w:eastAsia="Times New Roman" w:hAnsi="Verdana" w:cs="Times New Roman"/>
          <w:b/>
          <w:color w:val="00B0F0"/>
          <w:sz w:val="24"/>
          <w:szCs w:val="24"/>
          <w:lang w:val="en" w:eastAsia="en-GB"/>
        </w:rPr>
        <w:t xml:space="preserve">Issue </w:t>
      </w:r>
      <w:r w:rsidR="000B1EF4">
        <w:rPr>
          <w:rFonts w:ascii="Verdana" w:eastAsia="Times New Roman" w:hAnsi="Verdana" w:cs="Times New Roman"/>
          <w:b/>
          <w:color w:val="00B0F0"/>
          <w:sz w:val="24"/>
          <w:szCs w:val="24"/>
          <w:lang w:val="en" w:eastAsia="en-GB"/>
        </w:rPr>
        <w:t>2</w:t>
      </w:r>
    </w:p>
    <w:p w14:paraId="674F7BFB" w14:textId="77777777" w:rsidR="009E3DB2" w:rsidRPr="009E3DB2" w:rsidRDefault="009E3DB2" w:rsidP="003548A5">
      <w:pPr>
        <w:jc w:val="center"/>
        <w:rPr>
          <w:rFonts w:ascii="Verdana" w:eastAsia="Times New Roman" w:hAnsi="Verdana" w:cs="Times New Roman"/>
          <w:b/>
          <w:color w:val="00B0F0"/>
          <w:sz w:val="24"/>
          <w:szCs w:val="24"/>
          <w:lang w:val="en" w:eastAsia="en-GB"/>
        </w:rPr>
      </w:pPr>
    </w:p>
    <w:p w14:paraId="6F543D2C" w14:textId="14A8F205" w:rsidR="009E3DB2" w:rsidRPr="009E3DB2" w:rsidRDefault="00A9385C" w:rsidP="003548A5">
      <w:pPr>
        <w:jc w:val="center"/>
        <w:rPr>
          <w:color w:val="00B0F0"/>
        </w:rPr>
      </w:pPr>
      <w:r>
        <w:rPr>
          <w:rFonts w:ascii="Verdana" w:eastAsia="Times New Roman" w:hAnsi="Verdana" w:cs="Times New Roman"/>
          <w:b/>
          <w:color w:val="00B0F0"/>
          <w:sz w:val="24"/>
          <w:szCs w:val="24"/>
          <w:lang w:val="en" w:eastAsia="en-GB"/>
        </w:rPr>
        <w:t>February 2021</w:t>
      </w:r>
    </w:p>
    <w:p w14:paraId="0DBBBDE5" w14:textId="77777777" w:rsidR="003548A5" w:rsidRDefault="003548A5" w:rsidP="003548A5"/>
    <w:p w14:paraId="7670A5DF" w14:textId="77777777" w:rsidR="003548A5" w:rsidRDefault="003548A5"/>
    <w:p w14:paraId="269BBA82" w14:textId="70779867" w:rsidR="003548A5" w:rsidRDefault="003548A5"/>
    <w:p w14:paraId="371EAB71" w14:textId="76816D5B" w:rsidR="00DB4D64" w:rsidRDefault="00DB4D64"/>
    <w:p w14:paraId="5E4D23AF" w14:textId="087C684C" w:rsidR="00DB4D64" w:rsidRDefault="00DB4D64"/>
    <w:p w14:paraId="27B9D592" w14:textId="1F431117" w:rsidR="00DB4D64" w:rsidRDefault="00DB4D64"/>
    <w:p w14:paraId="6AF36B08" w14:textId="77777777" w:rsidR="00DB4D64" w:rsidRDefault="00DB4D64"/>
    <w:p w14:paraId="1A69EEC8" w14:textId="77777777" w:rsidR="00DB4D64" w:rsidRDefault="00DB4D64"/>
    <w:p w14:paraId="4C7FBCD6" w14:textId="488B1A87" w:rsidR="003548A5" w:rsidRPr="003548A5" w:rsidRDefault="00EC42FC" w:rsidP="008C675D">
      <w:pPr>
        <w:jc w:val="center"/>
        <w:rPr>
          <w:b/>
        </w:rPr>
      </w:pPr>
      <w:r w:rsidRPr="00EC42FC">
        <w:br/>
      </w:r>
      <w:r>
        <w:rPr>
          <w:b/>
        </w:rPr>
        <w:br/>
      </w:r>
      <w:r>
        <w:rPr>
          <w:b/>
        </w:rPr>
        <w:lastRenderedPageBreak/>
        <w:br/>
      </w:r>
      <w:r w:rsidR="003548A5" w:rsidRPr="003548A5">
        <w:rPr>
          <w:b/>
        </w:rPr>
        <w:t>Automatic Monitoring &amp; Targeting Sub-metering Systems</w:t>
      </w:r>
    </w:p>
    <w:p w14:paraId="5B7C3E2C" w14:textId="77777777" w:rsidR="003548A5" w:rsidRPr="003548A5" w:rsidRDefault="003548A5" w:rsidP="003548A5">
      <w:pPr>
        <w:jc w:val="center"/>
        <w:rPr>
          <w:b/>
        </w:rPr>
      </w:pPr>
      <w:r w:rsidRPr="003548A5">
        <w:rPr>
          <w:b/>
        </w:rPr>
        <w:t>Checklist and Statement template</w:t>
      </w:r>
    </w:p>
    <w:p w14:paraId="486A156B" w14:textId="77777777" w:rsidR="003548A5" w:rsidRDefault="003548A5"/>
    <w:p w14:paraId="28C4983E" w14:textId="77777777" w:rsidR="003548A5" w:rsidRDefault="003E7070">
      <w:r>
        <w:t xml:space="preserve">There are </w:t>
      </w:r>
      <w:r w:rsidR="003A44A6">
        <w:t>two categories</w:t>
      </w:r>
      <w:r>
        <w:t xml:space="preserve"> of Automatic Monitoring &amp; Targeting (</w:t>
      </w:r>
      <w:proofErr w:type="spellStart"/>
      <w:r>
        <w:t>aM&amp;T</w:t>
      </w:r>
      <w:proofErr w:type="spellEnd"/>
      <w:r>
        <w:t xml:space="preserve">) </w:t>
      </w:r>
      <w:r w:rsidR="003A44A6">
        <w:t>equipment and</w:t>
      </w:r>
      <w:r>
        <w:t xml:space="preserve"> systems on the Energy Technology List:</w:t>
      </w:r>
    </w:p>
    <w:p w14:paraId="19114B5B" w14:textId="77777777" w:rsidR="003A44A6" w:rsidRDefault="003A44A6" w:rsidP="003E7070">
      <w:pPr>
        <w:pStyle w:val="ListParagraph"/>
        <w:numPr>
          <w:ilvl w:val="0"/>
          <w:numId w:val="2"/>
        </w:numPr>
      </w:pPr>
      <w:r>
        <w:t>Automatic Monitoring &amp;</w:t>
      </w:r>
      <w:r w:rsidR="008C2BF6">
        <w:t xml:space="preserve"> </w:t>
      </w:r>
      <w:r>
        <w:t>Targeting Sub-metering Systems</w:t>
      </w:r>
    </w:p>
    <w:p w14:paraId="4784AAD0" w14:textId="77777777" w:rsidR="003A44A6" w:rsidRDefault="003A44A6" w:rsidP="003E7070">
      <w:pPr>
        <w:pStyle w:val="ListParagraph"/>
        <w:numPr>
          <w:ilvl w:val="0"/>
          <w:numId w:val="2"/>
        </w:numPr>
      </w:pPr>
      <w:r>
        <w:t>Portable Energy Monitoring Equipment</w:t>
      </w:r>
    </w:p>
    <w:p w14:paraId="4799D5B6" w14:textId="77777777" w:rsidR="003E7070" w:rsidRPr="00137F62" w:rsidRDefault="003E7070" w:rsidP="003E7070">
      <w:pPr>
        <w:jc w:val="both"/>
        <w:rPr>
          <w:rFonts w:ascii="Calibri" w:eastAsia="Calibri" w:hAnsi="Calibri"/>
        </w:rPr>
      </w:pPr>
      <w:r w:rsidRPr="00137F62">
        <w:rPr>
          <w:rFonts w:ascii="Calibri" w:eastAsia="Calibri" w:hAnsi="Calibri"/>
        </w:rPr>
        <w:t xml:space="preserve">This guidance note provides a Checklist and Statement template that can be used by manufacturers to demonstrate their products’ compliance against the ETL criteria of the </w:t>
      </w:r>
      <w:r>
        <w:rPr>
          <w:rFonts w:ascii="Calibri" w:eastAsia="Calibri" w:hAnsi="Calibri"/>
        </w:rPr>
        <w:t xml:space="preserve">Automatic Monitoring &amp; Targeting Sub-metering Systems </w:t>
      </w:r>
      <w:r w:rsidRPr="00137F62">
        <w:rPr>
          <w:rFonts w:ascii="Calibri" w:eastAsia="Calibri" w:hAnsi="Calibri"/>
        </w:rPr>
        <w:t xml:space="preserve">category. Manufacturers should review products against </w:t>
      </w:r>
      <w:r>
        <w:rPr>
          <w:rFonts w:ascii="Calibri" w:eastAsia="Calibri" w:hAnsi="Calibri"/>
        </w:rPr>
        <w:t>the c</w:t>
      </w:r>
      <w:r w:rsidRPr="00137F62">
        <w:rPr>
          <w:rFonts w:ascii="Calibri" w:eastAsia="Calibri" w:hAnsi="Calibri"/>
        </w:rPr>
        <w:t xml:space="preserve">hecklist and insert the names of those products that they </w:t>
      </w:r>
      <w:r>
        <w:rPr>
          <w:rFonts w:ascii="Calibri" w:eastAsia="Calibri" w:hAnsi="Calibri"/>
        </w:rPr>
        <w:t xml:space="preserve">can confirm </w:t>
      </w:r>
      <w:r w:rsidRPr="00137F62">
        <w:rPr>
          <w:rFonts w:ascii="Calibri" w:eastAsia="Calibri" w:hAnsi="Calibri"/>
        </w:rPr>
        <w:t>meet th</w:t>
      </w:r>
      <w:r>
        <w:rPr>
          <w:rFonts w:ascii="Calibri" w:eastAsia="Calibri" w:hAnsi="Calibri"/>
        </w:rPr>
        <w:t>e ETL criteria. The compliance statement should support the c</w:t>
      </w:r>
      <w:r w:rsidRPr="00137F62">
        <w:rPr>
          <w:rFonts w:ascii="Calibri" w:eastAsia="Calibri" w:hAnsi="Calibri"/>
        </w:rPr>
        <w:t xml:space="preserve">hecklist, be made on letter headed paper and </w:t>
      </w:r>
      <w:r w:rsidR="00461800">
        <w:rPr>
          <w:rFonts w:ascii="Calibri" w:eastAsia="Calibri" w:hAnsi="Calibri"/>
        </w:rPr>
        <w:t xml:space="preserve">be </w:t>
      </w:r>
      <w:r w:rsidRPr="00137F62">
        <w:rPr>
          <w:rFonts w:ascii="Calibri" w:eastAsia="Calibri" w:hAnsi="Calibri"/>
        </w:rPr>
        <w:t>accompanied by technical datasheets for the products.</w:t>
      </w:r>
    </w:p>
    <w:p w14:paraId="03CB6F58" w14:textId="77777777" w:rsidR="00232074" w:rsidRDefault="00232074" w:rsidP="003A44A6">
      <w:pPr>
        <w:spacing w:after="0"/>
        <w:jc w:val="both"/>
        <w:rPr>
          <w:rFonts w:ascii="Calibri" w:eastAsia="Calibri" w:hAnsi="Calibri"/>
        </w:rPr>
      </w:pPr>
      <w:r>
        <w:rPr>
          <w:rFonts w:ascii="Calibri" w:eastAsia="Calibri" w:hAnsi="Calibri"/>
        </w:rPr>
        <w:t xml:space="preserve">For a copy of the ETL criteria for </w:t>
      </w:r>
      <w:proofErr w:type="spellStart"/>
      <w:r>
        <w:rPr>
          <w:rFonts w:ascii="Calibri" w:eastAsia="Calibri" w:hAnsi="Calibri"/>
        </w:rPr>
        <w:t>aM&amp;T</w:t>
      </w:r>
      <w:proofErr w:type="spellEnd"/>
      <w:r>
        <w:rPr>
          <w:rFonts w:ascii="Calibri" w:eastAsia="Calibri" w:hAnsi="Calibri"/>
        </w:rPr>
        <w:t xml:space="preserve"> please see:  </w:t>
      </w:r>
    </w:p>
    <w:p w14:paraId="48771E7D" w14:textId="53720A70" w:rsidR="003A44A6" w:rsidRDefault="006F1A04" w:rsidP="003A44A6">
      <w:pPr>
        <w:spacing w:after="0"/>
        <w:jc w:val="both"/>
      </w:pPr>
      <w:hyperlink r:id="rId13" w:history="1">
        <w:r w:rsidR="00F90305" w:rsidRPr="004C6771">
          <w:rPr>
            <w:rStyle w:val="Hyperlink"/>
          </w:rPr>
          <w:t>https://etl.beis.gov.uk/products/automatic-monitoring-targeting-amt/automatic-monitoring-targeting-amt-sub-metering-systems</w:t>
        </w:r>
      </w:hyperlink>
    </w:p>
    <w:p w14:paraId="3B870CD7" w14:textId="77777777" w:rsidR="00F90305" w:rsidRDefault="00F90305" w:rsidP="003A44A6">
      <w:pPr>
        <w:spacing w:after="0"/>
        <w:jc w:val="both"/>
        <w:rPr>
          <w:rFonts w:ascii="Calibri" w:eastAsia="Calibri" w:hAnsi="Calibri"/>
        </w:rPr>
      </w:pPr>
    </w:p>
    <w:p w14:paraId="1CD98ECF" w14:textId="4B942661" w:rsidR="003E7070" w:rsidRDefault="00232074" w:rsidP="003E7070">
      <w:r>
        <w:rPr>
          <w:rFonts w:ascii="Calibri" w:eastAsia="Calibri" w:hAnsi="Calibri"/>
        </w:rPr>
        <w:t xml:space="preserve">Further information relating to </w:t>
      </w:r>
      <w:proofErr w:type="spellStart"/>
      <w:r>
        <w:rPr>
          <w:rFonts w:ascii="Calibri" w:eastAsia="Calibri" w:hAnsi="Calibri"/>
        </w:rPr>
        <w:t>aM&amp;T</w:t>
      </w:r>
      <w:proofErr w:type="spellEnd"/>
      <w:r>
        <w:rPr>
          <w:rFonts w:ascii="Calibri" w:eastAsia="Calibri" w:hAnsi="Calibri"/>
        </w:rPr>
        <w:t xml:space="preserve"> can be found here: </w:t>
      </w:r>
      <w:hyperlink r:id="rId14" w:history="1">
        <w:r w:rsidR="006F1A04" w:rsidRPr="00213C9B">
          <w:rPr>
            <w:rStyle w:val="Hyperlink"/>
          </w:rPr>
          <w:t>https://etl.beis.gov.uk/products/automatic-monitoring-targeting-amt</w:t>
        </w:r>
      </w:hyperlink>
    </w:p>
    <w:p w14:paraId="2F1E8797" w14:textId="42EFDE05" w:rsidR="00232074" w:rsidRDefault="00232074" w:rsidP="003E7070">
      <w:pPr>
        <w:rPr>
          <w:rFonts w:ascii="Calibri" w:eastAsia="Calibri" w:hAnsi="Calibri"/>
        </w:rPr>
      </w:pPr>
      <w:r w:rsidRPr="00137F62">
        <w:rPr>
          <w:rFonts w:ascii="Calibri" w:eastAsia="Calibri" w:hAnsi="Calibri"/>
        </w:rPr>
        <w:t xml:space="preserve">For any questions relating to the above, please contact: </w:t>
      </w:r>
      <w:hyperlink r:id="rId15" w:history="1">
        <w:r w:rsidR="00E636E0" w:rsidRPr="00FD70A9">
          <w:rPr>
            <w:rStyle w:val="Hyperlink"/>
            <w:rFonts w:ascii="Calibri" w:eastAsia="Calibri" w:hAnsi="Calibri"/>
          </w:rPr>
          <w:t>ETLQuestions@carbontrust.com</w:t>
        </w:r>
      </w:hyperlink>
      <w:r w:rsidRPr="00137F62">
        <w:rPr>
          <w:rFonts w:ascii="Calibri" w:eastAsia="Calibri" w:hAnsi="Calibri"/>
        </w:rPr>
        <w:br/>
        <w:t>(or telephone: 0300 3300657)</w:t>
      </w:r>
    </w:p>
    <w:p w14:paraId="414468C6" w14:textId="77777777" w:rsidR="00232074" w:rsidRDefault="00232074" w:rsidP="003E7070">
      <w:pPr>
        <w:rPr>
          <w:rFonts w:ascii="Calibri" w:eastAsia="Calibri" w:hAnsi="Calibri"/>
        </w:rPr>
      </w:pPr>
    </w:p>
    <w:p w14:paraId="53C1A6CD" w14:textId="77777777" w:rsidR="006F1A04" w:rsidRDefault="006F1A04">
      <w:pPr>
        <w:rPr>
          <w:rFonts w:ascii="Calibri Light" w:hAnsi="Calibri Light"/>
          <w:color w:val="2E74B5"/>
          <w:sz w:val="32"/>
          <w:szCs w:val="32"/>
        </w:rPr>
      </w:pPr>
    </w:p>
    <w:p w14:paraId="78744141" w14:textId="34E1C14E" w:rsidR="00C1798E" w:rsidRDefault="00C1798E">
      <w:pPr>
        <w:rPr>
          <w:rFonts w:ascii="Calibri Light" w:hAnsi="Calibri Light"/>
          <w:color w:val="2E74B5"/>
          <w:sz w:val="32"/>
          <w:szCs w:val="32"/>
        </w:rPr>
      </w:pPr>
      <w:bookmarkStart w:id="0" w:name="_GoBack"/>
      <w:bookmarkEnd w:id="0"/>
      <w:r>
        <w:rPr>
          <w:rFonts w:ascii="Calibri Light" w:hAnsi="Calibri Light"/>
          <w:color w:val="2E74B5"/>
          <w:sz w:val="32"/>
          <w:szCs w:val="32"/>
        </w:rPr>
        <w:br w:type="page"/>
      </w:r>
    </w:p>
    <w:p w14:paraId="1EF845D7" w14:textId="77777777" w:rsidR="00232074" w:rsidRPr="00601F81" w:rsidRDefault="002655AD" w:rsidP="00232074">
      <w:pPr>
        <w:keepNext/>
        <w:keepLines/>
        <w:spacing w:before="240"/>
        <w:outlineLvl w:val="0"/>
        <w:rPr>
          <w:rFonts w:ascii="Calibri Light" w:hAnsi="Calibri Light"/>
          <w:color w:val="2E74B5"/>
          <w:sz w:val="32"/>
          <w:szCs w:val="32"/>
        </w:rPr>
      </w:pPr>
      <w:r>
        <w:rPr>
          <w:rFonts w:ascii="Calibri Light" w:hAnsi="Calibri Light"/>
          <w:color w:val="2E74B5"/>
          <w:sz w:val="32"/>
          <w:szCs w:val="32"/>
        </w:rPr>
        <w:lastRenderedPageBreak/>
        <w:t>Automatic Monitoring and Targeting Sub-metering Systems</w:t>
      </w:r>
      <w:r w:rsidR="00B20C7D">
        <w:rPr>
          <w:rFonts w:ascii="Calibri Light" w:hAnsi="Calibri Light"/>
          <w:color w:val="2E74B5"/>
          <w:sz w:val="32"/>
          <w:szCs w:val="32"/>
        </w:rPr>
        <w:t>:</w:t>
      </w:r>
      <w:r w:rsidR="00B20C7D">
        <w:rPr>
          <w:rFonts w:ascii="Calibri Light" w:hAnsi="Calibri Light"/>
          <w:color w:val="2E74B5"/>
          <w:sz w:val="32"/>
          <w:szCs w:val="32"/>
        </w:rPr>
        <w:br/>
      </w:r>
      <w:r w:rsidR="00232074" w:rsidRPr="00601F81">
        <w:rPr>
          <w:rFonts w:ascii="Calibri Light" w:hAnsi="Calibri Light"/>
          <w:color w:val="2E74B5"/>
          <w:sz w:val="32"/>
          <w:szCs w:val="32"/>
        </w:rPr>
        <w:t xml:space="preserve">Product </w:t>
      </w:r>
      <w:r w:rsidR="00232074">
        <w:rPr>
          <w:rFonts w:ascii="Calibri Light" w:hAnsi="Calibri Light"/>
          <w:color w:val="2E74B5"/>
          <w:sz w:val="32"/>
          <w:szCs w:val="32"/>
        </w:rPr>
        <w:t xml:space="preserve">Compliance </w:t>
      </w:r>
      <w:r w:rsidR="00232074" w:rsidRPr="00601F81">
        <w:rPr>
          <w:rFonts w:ascii="Calibri Light" w:hAnsi="Calibri Light"/>
          <w:color w:val="2E74B5"/>
          <w:sz w:val="32"/>
          <w:szCs w:val="32"/>
        </w:rPr>
        <w:t>Checklist</w:t>
      </w:r>
    </w:p>
    <w:p w14:paraId="359BF9E2" w14:textId="77777777" w:rsidR="00232074" w:rsidRDefault="00232074" w:rsidP="00232074">
      <w:pPr>
        <w:rPr>
          <w:rFonts w:ascii="Calibri" w:hAnsi="Calibri" w:cs="Calibri"/>
        </w:rPr>
      </w:pPr>
      <w:r>
        <w:rPr>
          <w:rFonts w:ascii="Calibri" w:hAnsi="Calibri" w:cs="Calibri"/>
        </w:rPr>
        <w:t xml:space="preserve">This checklist when completed in full can be used as evidence to confirm that the products presented within it meet all eligibility requirements of the Energy Technology List </w:t>
      </w:r>
      <w:proofErr w:type="spellStart"/>
      <w:r>
        <w:rPr>
          <w:rFonts w:ascii="Calibri" w:hAnsi="Calibri" w:cs="Calibri"/>
        </w:rPr>
        <w:t>aM&amp;T</w:t>
      </w:r>
      <w:proofErr w:type="spellEnd"/>
      <w:r>
        <w:rPr>
          <w:rFonts w:ascii="Calibri" w:hAnsi="Calibri" w:cs="Calibri"/>
        </w:rPr>
        <w:t xml:space="preserve"> </w:t>
      </w:r>
      <w:r w:rsidR="008850A6">
        <w:rPr>
          <w:rFonts w:ascii="Calibri" w:hAnsi="Calibri" w:cs="Calibri"/>
        </w:rPr>
        <w:t>sub</w:t>
      </w:r>
      <w:r w:rsidR="00584835">
        <w:rPr>
          <w:rFonts w:ascii="Calibri" w:hAnsi="Calibri" w:cs="Calibri"/>
        </w:rPr>
        <w:t>-</w:t>
      </w:r>
      <w:r w:rsidR="008850A6">
        <w:rPr>
          <w:rFonts w:ascii="Calibri" w:hAnsi="Calibri" w:cs="Calibri"/>
        </w:rPr>
        <w:t>metering system</w:t>
      </w:r>
      <w:r w:rsidR="00584835">
        <w:rPr>
          <w:rFonts w:ascii="Calibri" w:hAnsi="Calibri" w:cs="Calibri"/>
        </w:rPr>
        <w:t>s</w:t>
      </w:r>
      <w:r w:rsidR="008850A6">
        <w:rPr>
          <w:rFonts w:ascii="Calibri" w:hAnsi="Calibri" w:cs="Calibri"/>
        </w:rPr>
        <w:t xml:space="preserve"> </w:t>
      </w:r>
      <w:r>
        <w:rPr>
          <w:rFonts w:ascii="Calibri" w:hAnsi="Calibri" w:cs="Calibri"/>
        </w:rPr>
        <w:t xml:space="preserve">qualifying criteria. </w:t>
      </w:r>
    </w:p>
    <w:tbl>
      <w:tblPr>
        <w:tblStyle w:val="TableGrid1"/>
        <w:tblW w:w="9205" w:type="dxa"/>
        <w:tblLook w:val="04A0" w:firstRow="1" w:lastRow="0" w:firstColumn="1" w:lastColumn="0" w:noHBand="0" w:noVBand="1"/>
      </w:tblPr>
      <w:tblGrid>
        <w:gridCol w:w="2749"/>
        <w:gridCol w:w="2424"/>
        <w:gridCol w:w="1990"/>
        <w:gridCol w:w="2042"/>
      </w:tblGrid>
      <w:tr w:rsidR="00232074" w:rsidRPr="00601F81" w14:paraId="6026CE63" w14:textId="77777777" w:rsidTr="00232074">
        <w:trPr>
          <w:trHeight w:val="780"/>
        </w:trPr>
        <w:tc>
          <w:tcPr>
            <w:tcW w:w="2749" w:type="dxa"/>
          </w:tcPr>
          <w:p w14:paraId="3BCE3675" w14:textId="77777777" w:rsidR="00232074" w:rsidRPr="00601F81" w:rsidRDefault="00232074" w:rsidP="001F75DB">
            <w:pPr>
              <w:rPr>
                <w:bCs/>
                <w:i/>
              </w:rPr>
            </w:pPr>
            <w:r w:rsidRPr="00601F81">
              <w:rPr>
                <w:b/>
                <w:bCs/>
              </w:rPr>
              <w:t>Product details, e.g.</w:t>
            </w:r>
            <w:r>
              <w:rPr>
                <w:b/>
                <w:bCs/>
              </w:rPr>
              <w:t xml:space="preserve"> </w:t>
            </w:r>
            <w:r w:rsidRPr="00601F81">
              <w:rPr>
                <w:bCs/>
                <w:i/>
              </w:rPr>
              <w:t>Manufacturer (&amp; supplier if applicable)</w:t>
            </w:r>
          </w:p>
        </w:tc>
        <w:tc>
          <w:tcPr>
            <w:tcW w:w="2424" w:type="dxa"/>
          </w:tcPr>
          <w:p w14:paraId="710BFACC" w14:textId="77777777" w:rsidR="00232074" w:rsidRPr="00601F81" w:rsidRDefault="00232074" w:rsidP="001F75DB">
            <w:pPr>
              <w:rPr>
                <w:bCs/>
                <w:i/>
              </w:rPr>
            </w:pPr>
            <w:r w:rsidRPr="00601F81">
              <w:rPr>
                <w:bCs/>
                <w:i/>
              </w:rPr>
              <w:t>Product name</w:t>
            </w:r>
          </w:p>
        </w:tc>
        <w:tc>
          <w:tcPr>
            <w:tcW w:w="1990" w:type="dxa"/>
          </w:tcPr>
          <w:p w14:paraId="73A14B35" w14:textId="77777777" w:rsidR="00232074" w:rsidRPr="00601F81" w:rsidRDefault="00232074" w:rsidP="001F75DB">
            <w:pPr>
              <w:rPr>
                <w:bCs/>
                <w:i/>
              </w:rPr>
            </w:pPr>
            <w:r w:rsidRPr="00601F81">
              <w:rPr>
                <w:bCs/>
                <w:i/>
              </w:rPr>
              <w:t>Model</w:t>
            </w:r>
          </w:p>
        </w:tc>
        <w:tc>
          <w:tcPr>
            <w:tcW w:w="2042" w:type="dxa"/>
          </w:tcPr>
          <w:p w14:paraId="0DCF2E10" w14:textId="77777777" w:rsidR="00232074" w:rsidRPr="00601F81" w:rsidRDefault="00232074" w:rsidP="001F75DB">
            <w:pPr>
              <w:rPr>
                <w:bCs/>
                <w:i/>
              </w:rPr>
            </w:pPr>
            <w:r w:rsidRPr="00601F81">
              <w:rPr>
                <w:bCs/>
                <w:i/>
              </w:rPr>
              <w:t>Part number</w:t>
            </w:r>
          </w:p>
        </w:tc>
      </w:tr>
      <w:tr w:rsidR="00232074" w:rsidRPr="00601F81" w14:paraId="2B0511A3" w14:textId="77777777" w:rsidTr="00232074">
        <w:trPr>
          <w:trHeight w:val="256"/>
        </w:trPr>
        <w:tc>
          <w:tcPr>
            <w:tcW w:w="2749" w:type="dxa"/>
          </w:tcPr>
          <w:p w14:paraId="4BC89D1B" w14:textId="77777777" w:rsidR="00232074" w:rsidRPr="00601F81" w:rsidRDefault="00232074" w:rsidP="001F75DB">
            <w:pPr>
              <w:rPr>
                <w:b/>
                <w:bCs/>
              </w:rPr>
            </w:pPr>
            <w:r w:rsidRPr="00601F81">
              <w:rPr>
                <w:b/>
                <w:bCs/>
              </w:rPr>
              <w:t>Example 1</w:t>
            </w:r>
          </w:p>
        </w:tc>
        <w:tc>
          <w:tcPr>
            <w:tcW w:w="2424" w:type="dxa"/>
          </w:tcPr>
          <w:p w14:paraId="6A3FF949" w14:textId="77777777" w:rsidR="00232074" w:rsidRPr="00601F81" w:rsidRDefault="00232074" w:rsidP="001F75DB">
            <w:pPr>
              <w:rPr>
                <w:b/>
                <w:bCs/>
              </w:rPr>
            </w:pPr>
            <w:r w:rsidRPr="00601F81">
              <w:rPr>
                <w:b/>
                <w:bCs/>
              </w:rPr>
              <w:t>Product1</w:t>
            </w:r>
          </w:p>
        </w:tc>
        <w:tc>
          <w:tcPr>
            <w:tcW w:w="1990" w:type="dxa"/>
          </w:tcPr>
          <w:p w14:paraId="334B559D" w14:textId="77777777" w:rsidR="00232074" w:rsidRPr="00601F81" w:rsidRDefault="00232074" w:rsidP="001F75DB">
            <w:pPr>
              <w:rPr>
                <w:b/>
                <w:bCs/>
              </w:rPr>
            </w:pPr>
            <w:r w:rsidRPr="00601F81">
              <w:rPr>
                <w:b/>
                <w:bCs/>
              </w:rPr>
              <w:t>Widget1</w:t>
            </w:r>
          </w:p>
        </w:tc>
        <w:tc>
          <w:tcPr>
            <w:tcW w:w="2042" w:type="dxa"/>
          </w:tcPr>
          <w:p w14:paraId="6C2037AE" w14:textId="77777777" w:rsidR="00232074" w:rsidRPr="00601F81" w:rsidRDefault="00232074" w:rsidP="001F75DB">
            <w:pPr>
              <w:rPr>
                <w:b/>
                <w:bCs/>
              </w:rPr>
            </w:pPr>
            <w:r w:rsidRPr="00601F81">
              <w:rPr>
                <w:b/>
                <w:bCs/>
              </w:rPr>
              <w:t>XXX-XXX</w:t>
            </w:r>
          </w:p>
        </w:tc>
      </w:tr>
      <w:tr w:rsidR="00232074" w:rsidRPr="00601F81" w14:paraId="30A7E4A3" w14:textId="77777777" w:rsidTr="00232074">
        <w:trPr>
          <w:trHeight w:val="256"/>
        </w:trPr>
        <w:tc>
          <w:tcPr>
            <w:tcW w:w="2749" w:type="dxa"/>
          </w:tcPr>
          <w:p w14:paraId="7C8264C4" w14:textId="77777777" w:rsidR="00232074" w:rsidRPr="00601F81" w:rsidRDefault="00232074" w:rsidP="001F75DB">
            <w:pPr>
              <w:rPr>
                <w:b/>
                <w:bCs/>
              </w:rPr>
            </w:pPr>
            <w:r w:rsidRPr="00601F81">
              <w:rPr>
                <w:b/>
                <w:bCs/>
              </w:rPr>
              <w:t>Example 2</w:t>
            </w:r>
          </w:p>
        </w:tc>
        <w:tc>
          <w:tcPr>
            <w:tcW w:w="2424" w:type="dxa"/>
          </w:tcPr>
          <w:p w14:paraId="3160A924" w14:textId="77777777" w:rsidR="00232074" w:rsidRPr="00601F81" w:rsidRDefault="00232074" w:rsidP="001F75DB">
            <w:pPr>
              <w:rPr>
                <w:b/>
                <w:bCs/>
              </w:rPr>
            </w:pPr>
            <w:r w:rsidRPr="00601F81">
              <w:rPr>
                <w:b/>
                <w:bCs/>
              </w:rPr>
              <w:t>Product2</w:t>
            </w:r>
          </w:p>
        </w:tc>
        <w:tc>
          <w:tcPr>
            <w:tcW w:w="1990" w:type="dxa"/>
          </w:tcPr>
          <w:p w14:paraId="6445A052" w14:textId="77777777" w:rsidR="00232074" w:rsidRPr="00601F81" w:rsidRDefault="00232074" w:rsidP="001F75DB">
            <w:pPr>
              <w:rPr>
                <w:b/>
                <w:bCs/>
              </w:rPr>
            </w:pPr>
            <w:r w:rsidRPr="00601F81">
              <w:rPr>
                <w:b/>
                <w:bCs/>
              </w:rPr>
              <w:t>Widget2</w:t>
            </w:r>
          </w:p>
        </w:tc>
        <w:tc>
          <w:tcPr>
            <w:tcW w:w="2042" w:type="dxa"/>
          </w:tcPr>
          <w:p w14:paraId="5E244640" w14:textId="77777777" w:rsidR="00232074" w:rsidRPr="00601F81" w:rsidRDefault="00232074" w:rsidP="001F75DB">
            <w:pPr>
              <w:rPr>
                <w:b/>
                <w:bCs/>
              </w:rPr>
            </w:pPr>
            <w:r w:rsidRPr="00601F81">
              <w:rPr>
                <w:b/>
                <w:bCs/>
              </w:rPr>
              <w:t>YYY-TTT</w:t>
            </w:r>
          </w:p>
        </w:tc>
      </w:tr>
      <w:tr w:rsidR="00232074" w:rsidRPr="00601F81" w14:paraId="16CBB861" w14:textId="77777777" w:rsidTr="00232074">
        <w:trPr>
          <w:trHeight w:val="256"/>
        </w:trPr>
        <w:tc>
          <w:tcPr>
            <w:tcW w:w="2749" w:type="dxa"/>
          </w:tcPr>
          <w:p w14:paraId="33FAFD75" w14:textId="77777777" w:rsidR="00232074" w:rsidRPr="00601F81" w:rsidRDefault="00232074" w:rsidP="001F75DB">
            <w:pPr>
              <w:rPr>
                <w:b/>
                <w:bCs/>
              </w:rPr>
            </w:pPr>
          </w:p>
        </w:tc>
        <w:tc>
          <w:tcPr>
            <w:tcW w:w="2424" w:type="dxa"/>
          </w:tcPr>
          <w:p w14:paraId="3EDA4CD8" w14:textId="77777777" w:rsidR="00232074" w:rsidRPr="00601F81" w:rsidRDefault="00232074" w:rsidP="001F75DB">
            <w:pPr>
              <w:rPr>
                <w:b/>
                <w:bCs/>
              </w:rPr>
            </w:pPr>
          </w:p>
        </w:tc>
        <w:tc>
          <w:tcPr>
            <w:tcW w:w="1990" w:type="dxa"/>
          </w:tcPr>
          <w:p w14:paraId="57C2BE0E" w14:textId="77777777" w:rsidR="00232074" w:rsidRPr="00601F81" w:rsidRDefault="00232074" w:rsidP="001F75DB">
            <w:pPr>
              <w:rPr>
                <w:b/>
                <w:bCs/>
              </w:rPr>
            </w:pPr>
          </w:p>
        </w:tc>
        <w:tc>
          <w:tcPr>
            <w:tcW w:w="2042" w:type="dxa"/>
          </w:tcPr>
          <w:p w14:paraId="6501F2C7" w14:textId="77777777" w:rsidR="00232074" w:rsidRPr="00601F81" w:rsidRDefault="00232074" w:rsidP="001F75DB">
            <w:pPr>
              <w:rPr>
                <w:b/>
                <w:bCs/>
              </w:rPr>
            </w:pPr>
          </w:p>
        </w:tc>
      </w:tr>
      <w:tr w:rsidR="00232074" w:rsidRPr="00601F81" w14:paraId="65C05AB9" w14:textId="77777777" w:rsidTr="00232074">
        <w:trPr>
          <w:trHeight w:val="256"/>
        </w:trPr>
        <w:tc>
          <w:tcPr>
            <w:tcW w:w="2749" w:type="dxa"/>
          </w:tcPr>
          <w:p w14:paraId="206D0CEC" w14:textId="77777777" w:rsidR="00232074" w:rsidRPr="00601F81" w:rsidRDefault="00232074" w:rsidP="001F75DB">
            <w:pPr>
              <w:rPr>
                <w:b/>
                <w:bCs/>
              </w:rPr>
            </w:pPr>
          </w:p>
        </w:tc>
        <w:tc>
          <w:tcPr>
            <w:tcW w:w="2424" w:type="dxa"/>
          </w:tcPr>
          <w:p w14:paraId="12958F9B" w14:textId="77777777" w:rsidR="00232074" w:rsidRPr="00601F81" w:rsidRDefault="00232074" w:rsidP="001F75DB">
            <w:pPr>
              <w:rPr>
                <w:b/>
                <w:bCs/>
              </w:rPr>
            </w:pPr>
          </w:p>
        </w:tc>
        <w:tc>
          <w:tcPr>
            <w:tcW w:w="1990" w:type="dxa"/>
          </w:tcPr>
          <w:p w14:paraId="0EB2E6EF" w14:textId="77777777" w:rsidR="00232074" w:rsidRPr="00601F81" w:rsidRDefault="00232074" w:rsidP="001F75DB">
            <w:pPr>
              <w:rPr>
                <w:b/>
                <w:bCs/>
              </w:rPr>
            </w:pPr>
          </w:p>
        </w:tc>
        <w:tc>
          <w:tcPr>
            <w:tcW w:w="2042" w:type="dxa"/>
          </w:tcPr>
          <w:p w14:paraId="00520617" w14:textId="77777777" w:rsidR="00232074" w:rsidRPr="00601F81" w:rsidRDefault="00232074" w:rsidP="001F75DB">
            <w:pPr>
              <w:rPr>
                <w:b/>
                <w:bCs/>
              </w:rPr>
            </w:pPr>
          </w:p>
        </w:tc>
      </w:tr>
      <w:tr w:rsidR="00232074" w:rsidRPr="00601F81" w14:paraId="5BBC2F85" w14:textId="77777777" w:rsidTr="00232074">
        <w:trPr>
          <w:trHeight w:val="256"/>
        </w:trPr>
        <w:tc>
          <w:tcPr>
            <w:tcW w:w="2749" w:type="dxa"/>
          </w:tcPr>
          <w:p w14:paraId="1F655828" w14:textId="77777777" w:rsidR="00232074" w:rsidRPr="00601F81" w:rsidRDefault="00232074" w:rsidP="001F75DB">
            <w:pPr>
              <w:rPr>
                <w:b/>
                <w:bCs/>
              </w:rPr>
            </w:pPr>
          </w:p>
        </w:tc>
        <w:tc>
          <w:tcPr>
            <w:tcW w:w="2424" w:type="dxa"/>
          </w:tcPr>
          <w:p w14:paraId="0DF3BC71" w14:textId="77777777" w:rsidR="00232074" w:rsidRPr="00601F81" w:rsidRDefault="00232074" w:rsidP="001F75DB">
            <w:pPr>
              <w:rPr>
                <w:b/>
                <w:bCs/>
              </w:rPr>
            </w:pPr>
          </w:p>
        </w:tc>
        <w:tc>
          <w:tcPr>
            <w:tcW w:w="1990" w:type="dxa"/>
          </w:tcPr>
          <w:p w14:paraId="5A910095" w14:textId="77777777" w:rsidR="00232074" w:rsidRPr="00601F81" w:rsidRDefault="00232074" w:rsidP="001F75DB">
            <w:pPr>
              <w:rPr>
                <w:b/>
                <w:bCs/>
              </w:rPr>
            </w:pPr>
          </w:p>
        </w:tc>
        <w:tc>
          <w:tcPr>
            <w:tcW w:w="2042" w:type="dxa"/>
          </w:tcPr>
          <w:p w14:paraId="07D0438D" w14:textId="77777777" w:rsidR="00232074" w:rsidRPr="00601F81" w:rsidRDefault="00232074" w:rsidP="001F75DB">
            <w:pPr>
              <w:rPr>
                <w:b/>
                <w:bCs/>
              </w:rPr>
            </w:pPr>
          </w:p>
        </w:tc>
      </w:tr>
    </w:tbl>
    <w:p w14:paraId="5D77DD1A" w14:textId="77777777" w:rsidR="007425AE" w:rsidRPr="00CA0E20" w:rsidRDefault="007425AE" w:rsidP="00232074">
      <w:pPr>
        <w:rPr>
          <w:rFonts w:ascii="Calibri" w:hAnsi="Calibri" w:cs="Calibri"/>
          <w:b/>
        </w:rPr>
      </w:pPr>
      <w:r w:rsidRPr="00CA0E20">
        <w:rPr>
          <w:rFonts w:ascii="Calibri" w:hAnsi="Calibri" w:cs="Calibri"/>
          <w:b/>
        </w:rPr>
        <w:t xml:space="preserve">All </w:t>
      </w:r>
      <w:proofErr w:type="spellStart"/>
      <w:r w:rsidRPr="00CA0E20">
        <w:rPr>
          <w:rFonts w:ascii="Calibri" w:hAnsi="Calibri" w:cs="Calibri"/>
          <w:b/>
        </w:rPr>
        <w:t>aM&amp;T</w:t>
      </w:r>
      <w:proofErr w:type="spellEnd"/>
      <w:r w:rsidRPr="00CA0E20">
        <w:rPr>
          <w:rFonts w:ascii="Calibri" w:hAnsi="Calibri" w:cs="Calibri"/>
          <w:b/>
        </w:rPr>
        <w:t xml:space="preserve"> </w:t>
      </w:r>
      <w:r w:rsidR="008850A6">
        <w:rPr>
          <w:rFonts w:ascii="Calibri" w:hAnsi="Calibri" w:cs="Calibri"/>
          <w:b/>
        </w:rPr>
        <w:t>sub</w:t>
      </w:r>
      <w:r w:rsidR="00584835">
        <w:rPr>
          <w:rFonts w:ascii="Calibri" w:hAnsi="Calibri" w:cs="Calibri"/>
          <w:b/>
        </w:rPr>
        <w:t>-</w:t>
      </w:r>
      <w:r w:rsidR="008850A6">
        <w:rPr>
          <w:rFonts w:ascii="Calibri" w:hAnsi="Calibri" w:cs="Calibri"/>
          <w:b/>
        </w:rPr>
        <w:t xml:space="preserve">metering </w:t>
      </w:r>
      <w:r w:rsidRPr="00CA0E20">
        <w:rPr>
          <w:rFonts w:ascii="Calibri" w:hAnsi="Calibri" w:cs="Calibri"/>
          <w:b/>
        </w:rPr>
        <w:t xml:space="preserve">products listed above must meet all requirements relating to their product type listed below. </w:t>
      </w:r>
    </w:p>
    <w:p w14:paraId="5A6A1BD7" w14:textId="77777777" w:rsidR="00CA0E20" w:rsidRPr="00CA0E20" w:rsidRDefault="00CA0E20" w:rsidP="00232074">
      <w:pPr>
        <w:rPr>
          <w:rFonts w:ascii="Calibri" w:hAnsi="Calibri" w:cs="Calibri"/>
          <w:b/>
        </w:rPr>
      </w:pPr>
      <w:r w:rsidRPr="00CA0E20">
        <w:rPr>
          <w:rFonts w:ascii="Calibri" w:hAnsi="Calibri" w:cs="Calibri"/>
          <w:b/>
        </w:rPr>
        <w:t>Product characteristics</w:t>
      </w:r>
    </w:p>
    <w:p w14:paraId="33BAE870" w14:textId="77777777" w:rsidR="00CA0E20" w:rsidRDefault="00CA0E20" w:rsidP="00232074">
      <w:pPr>
        <w:rPr>
          <w:rFonts w:ascii="Calibri" w:hAnsi="Calibri" w:cs="Calibri"/>
        </w:rPr>
      </w:pPr>
      <w:r>
        <w:rPr>
          <w:rFonts w:ascii="Calibri" w:hAnsi="Calibri" w:cs="Calibri"/>
        </w:rPr>
        <w:t>Product(s):</w:t>
      </w:r>
    </w:p>
    <w:p w14:paraId="2473E8A8" w14:textId="77777777" w:rsidR="00CA0E20" w:rsidRDefault="008565A5" w:rsidP="00CA0E20">
      <w:pPr>
        <w:pStyle w:val="ListParagraph"/>
        <w:numPr>
          <w:ilvl w:val="0"/>
          <w:numId w:val="3"/>
        </w:numPr>
        <w:rPr>
          <w:rFonts w:ascii="Calibri" w:hAnsi="Calibri" w:cs="Calibri"/>
        </w:rPr>
      </w:pPr>
      <w:r>
        <w:rPr>
          <w:rFonts w:ascii="Calibri" w:hAnsi="Calibri" w:cs="Calibri"/>
        </w:rPr>
        <w:t>Includes o</w:t>
      </w:r>
      <w:r w:rsidR="00CA0E20">
        <w:rPr>
          <w:rFonts w:ascii="Calibri" w:hAnsi="Calibri" w:cs="Calibri"/>
        </w:rPr>
        <w:t>ne or more meters that measure energy use for metering purposes</w:t>
      </w:r>
      <w:r w:rsidR="00C1798E">
        <w:rPr>
          <w:rFonts w:ascii="Calibri" w:hAnsi="Calibri" w:cs="Calibri"/>
        </w:rPr>
        <w:t>.</w:t>
      </w:r>
    </w:p>
    <w:p w14:paraId="0DB131F4" w14:textId="77777777" w:rsidR="00CA0E20" w:rsidRDefault="003B7140" w:rsidP="00CA0E20">
      <w:pPr>
        <w:pStyle w:val="ListParagraph"/>
        <w:numPr>
          <w:ilvl w:val="0"/>
          <w:numId w:val="3"/>
        </w:numPr>
        <w:rPr>
          <w:rFonts w:ascii="Calibri" w:hAnsi="Calibri" w:cs="Calibri"/>
        </w:rPr>
      </w:pPr>
      <w:r>
        <w:rPr>
          <w:rFonts w:ascii="Calibri" w:hAnsi="Calibri" w:cs="Calibri"/>
        </w:rPr>
        <w:t>C</w:t>
      </w:r>
      <w:r w:rsidR="00CA0E20">
        <w:rPr>
          <w:rFonts w:ascii="Calibri" w:hAnsi="Calibri" w:cs="Calibri"/>
        </w:rPr>
        <w:t>apable of automatically capturing, retrieving and storing energy metering data electronically</w:t>
      </w:r>
      <w:r w:rsidR="00C1798E">
        <w:rPr>
          <w:rFonts w:ascii="Calibri" w:hAnsi="Calibri" w:cs="Calibri"/>
        </w:rPr>
        <w:t>.</w:t>
      </w:r>
    </w:p>
    <w:p w14:paraId="61D6049A" w14:textId="77777777" w:rsidR="00CA0E20" w:rsidRDefault="001A1127" w:rsidP="00CA0E20">
      <w:pPr>
        <w:pStyle w:val="ListParagraph"/>
        <w:numPr>
          <w:ilvl w:val="0"/>
          <w:numId w:val="3"/>
        </w:numPr>
        <w:rPr>
          <w:rFonts w:ascii="Calibri" w:hAnsi="Calibri" w:cs="Calibri"/>
        </w:rPr>
      </w:pPr>
      <w:r>
        <w:rPr>
          <w:rFonts w:ascii="Calibri" w:hAnsi="Calibri" w:cs="Calibri"/>
        </w:rPr>
        <w:t>Includes s</w:t>
      </w:r>
      <w:r w:rsidR="00CA0E20">
        <w:rPr>
          <w:rFonts w:ascii="Calibri" w:hAnsi="Calibri" w:cs="Calibri"/>
        </w:rPr>
        <w:t>oftware that enables the analysis of en</w:t>
      </w:r>
      <w:r w:rsidR="002655AD">
        <w:rPr>
          <w:rFonts w:ascii="Calibri" w:hAnsi="Calibri" w:cs="Calibri"/>
        </w:rPr>
        <w:t xml:space="preserve">ergy metering data and the key </w:t>
      </w:r>
      <w:r w:rsidR="00CA0E20">
        <w:rPr>
          <w:rFonts w:ascii="Calibri" w:hAnsi="Calibri" w:cs="Calibri"/>
        </w:rPr>
        <w:t>factors that influence energy use by means of visualising energy performance data</w:t>
      </w:r>
      <w:r w:rsidR="00C1798E">
        <w:rPr>
          <w:rFonts w:ascii="Calibri" w:hAnsi="Calibri" w:cs="Calibri"/>
        </w:rPr>
        <w:t>.</w:t>
      </w:r>
    </w:p>
    <w:p w14:paraId="6A7B732A" w14:textId="77777777" w:rsidR="00CA0E20" w:rsidRDefault="003B7140" w:rsidP="00CA0E20">
      <w:pPr>
        <w:pStyle w:val="ListParagraph"/>
        <w:numPr>
          <w:ilvl w:val="0"/>
          <w:numId w:val="3"/>
        </w:numPr>
        <w:rPr>
          <w:rFonts w:ascii="Calibri" w:hAnsi="Calibri" w:cs="Calibri"/>
        </w:rPr>
      </w:pPr>
      <w:r>
        <w:rPr>
          <w:rFonts w:ascii="Calibri" w:hAnsi="Calibri" w:cs="Calibri"/>
        </w:rPr>
        <w:t>A</w:t>
      </w:r>
      <w:r w:rsidR="00CA0E20">
        <w:rPr>
          <w:rFonts w:ascii="Calibri" w:hAnsi="Calibri" w:cs="Calibri"/>
        </w:rPr>
        <w:t>ble to meter at least one of the following: Electricity use, Gas use, Heat use</w:t>
      </w:r>
      <w:r w:rsidR="001A1127">
        <w:rPr>
          <w:rFonts w:ascii="Calibri" w:hAnsi="Calibri" w:cs="Calibri"/>
        </w:rPr>
        <w:t xml:space="preserve"> (NB if this is fulfilled, the </w:t>
      </w:r>
      <w:proofErr w:type="spellStart"/>
      <w:r w:rsidR="001A1127">
        <w:rPr>
          <w:rFonts w:ascii="Calibri" w:hAnsi="Calibri" w:cs="Calibri"/>
        </w:rPr>
        <w:t>aM&amp;T</w:t>
      </w:r>
      <w:proofErr w:type="spellEnd"/>
      <w:r w:rsidR="001A1127">
        <w:rPr>
          <w:rFonts w:ascii="Calibri" w:hAnsi="Calibri" w:cs="Calibri"/>
        </w:rPr>
        <w:t xml:space="preserve"> </w:t>
      </w:r>
      <w:r w:rsidR="008850A6">
        <w:rPr>
          <w:rFonts w:ascii="Calibri" w:hAnsi="Calibri" w:cs="Calibri"/>
        </w:rPr>
        <w:t>sub</w:t>
      </w:r>
      <w:r w:rsidR="00584835">
        <w:rPr>
          <w:rFonts w:ascii="Calibri" w:hAnsi="Calibri" w:cs="Calibri"/>
        </w:rPr>
        <w:t>-</w:t>
      </w:r>
      <w:r w:rsidR="008850A6">
        <w:rPr>
          <w:rFonts w:ascii="Calibri" w:hAnsi="Calibri" w:cs="Calibri"/>
        </w:rPr>
        <w:t xml:space="preserve">metering </w:t>
      </w:r>
      <w:r w:rsidR="001A1127">
        <w:rPr>
          <w:rFonts w:ascii="Calibri" w:hAnsi="Calibri" w:cs="Calibri"/>
        </w:rPr>
        <w:t>system can also include oil fuel flow meters, compressed air mass flow meters and steam meters)</w:t>
      </w:r>
      <w:r w:rsidR="00C1798E">
        <w:rPr>
          <w:rFonts w:ascii="Calibri" w:hAnsi="Calibri" w:cs="Calibri"/>
        </w:rPr>
        <w:t>.</w:t>
      </w:r>
    </w:p>
    <w:p w14:paraId="1CFE0FB1" w14:textId="77777777" w:rsidR="009A5BDA" w:rsidRDefault="001A1127" w:rsidP="009A5BDA">
      <w:pPr>
        <w:rPr>
          <w:rFonts w:ascii="Calibri" w:hAnsi="Calibri" w:cs="Calibri"/>
        </w:rPr>
      </w:pPr>
      <w:r>
        <w:rPr>
          <w:rFonts w:ascii="Calibri" w:hAnsi="Calibri" w:cs="Calibri"/>
        </w:rPr>
        <w:t>For electricity, gas and heat meters, the system is able to</w:t>
      </w:r>
      <w:r w:rsidR="009A5BDA">
        <w:rPr>
          <w:rFonts w:ascii="Calibri" w:hAnsi="Calibri" w:cs="Calibri"/>
        </w:rPr>
        <w:t>:</w:t>
      </w:r>
    </w:p>
    <w:p w14:paraId="59ACAF53" w14:textId="77777777" w:rsidR="009A5BDA" w:rsidRDefault="001A1127" w:rsidP="001A1127">
      <w:pPr>
        <w:pStyle w:val="ListParagraph"/>
        <w:numPr>
          <w:ilvl w:val="0"/>
          <w:numId w:val="6"/>
        </w:numPr>
        <w:rPr>
          <w:rFonts w:ascii="Calibri" w:hAnsi="Calibri" w:cs="Calibri"/>
        </w:rPr>
      </w:pPr>
      <w:r w:rsidRPr="001A1127">
        <w:rPr>
          <w:rFonts w:ascii="Calibri" w:hAnsi="Calibri" w:cs="Calibri"/>
        </w:rPr>
        <w:t>Automatically capture data from meters or sensors at regular intervals in order to provide energy performance indicators</w:t>
      </w:r>
      <w:r w:rsidR="00C1798E">
        <w:rPr>
          <w:rFonts w:ascii="Calibri" w:hAnsi="Calibri" w:cs="Calibri"/>
        </w:rPr>
        <w:t>.</w:t>
      </w:r>
    </w:p>
    <w:p w14:paraId="50CEDB91" w14:textId="77777777" w:rsidR="001A1127" w:rsidRDefault="001A1127" w:rsidP="001A1127">
      <w:pPr>
        <w:pStyle w:val="ListParagraph"/>
        <w:numPr>
          <w:ilvl w:val="0"/>
          <w:numId w:val="6"/>
        </w:numPr>
        <w:rPr>
          <w:rFonts w:ascii="Calibri" w:hAnsi="Calibri" w:cs="Calibri"/>
        </w:rPr>
      </w:pPr>
      <w:r w:rsidRPr="001A1127">
        <w:rPr>
          <w:rFonts w:ascii="Calibri" w:hAnsi="Calibri" w:cs="Calibri"/>
        </w:rPr>
        <w:t>Store and process meter readings made on a half hourly basis (as a minimum). The metering data may be transferred into the data store in real-time or at scheduled times</w:t>
      </w:r>
      <w:r w:rsidR="00C1798E">
        <w:rPr>
          <w:rFonts w:ascii="Calibri" w:hAnsi="Calibri" w:cs="Calibri"/>
        </w:rPr>
        <w:t>.</w:t>
      </w:r>
    </w:p>
    <w:p w14:paraId="2ACA3067" w14:textId="77777777" w:rsidR="001A1127" w:rsidRDefault="001A1127" w:rsidP="001A1127">
      <w:pPr>
        <w:pStyle w:val="ListParagraph"/>
        <w:numPr>
          <w:ilvl w:val="0"/>
          <w:numId w:val="6"/>
        </w:numPr>
        <w:rPr>
          <w:rFonts w:ascii="Calibri" w:hAnsi="Calibri" w:cs="Calibri"/>
        </w:rPr>
      </w:pPr>
      <w:r w:rsidRPr="001A1127">
        <w:rPr>
          <w:rFonts w:ascii="Calibri" w:hAnsi="Calibri" w:cs="Calibri"/>
        </w:rPr>
        <w:t>Automatically identify and report data collection failures, missing metering data and the failure of communications with meters, transducers and any other system components.</w:t>
      </w:r>
    </w:p>
    <w:p w14:paraId="29AFBA62" w14:textId="77777777" w:rsidR="001A1127" w:rsidRDefault="001A1127" w:rsidP="001A1127">
      <w:pPr>
        <w:pStyle w:val="ListParagraph"/>
        <w:numPr>
          <w:ilvl w:val="0"/>
          <w:numId w:val="6"/>
        </w:numPr>
        <w:rPr>
          <w:rFonts w:ascii="Calibri" w:hAnsi="Calibri" w:cs="Calibri"/>
        </w:rPr>
      </w:pPr>
      <w:r w:rsidRPr="001A1127">
        <w:rPr>
          <w:rFonts w:ascii="Calibri" w:hAnsi="Calibri" w:cs="Calibri"/>
        </w:rPr>
        <w:t>Distribute data with no loss of accuracy, except for pulse outputs from meters, where the transmitted metered data shall be within +/- 0.5% of the total variable measured.</w:t>
      </w:r>
    </w:p>
    <w:p w14:paraId="558E08B5" w14:textId="77777777" w:rsidR="001A1127" w:rsidRDefault="001A1127" w:rsidP="001A1127">
      <w:pPr>
        <w:pStyle w:val="ListParagraph"/>
        <w:numPr>
          <w:ilvl w:val="0"/>
          <w:numId w:val="6"/>
        </w:numPr>
        <w:rPr>
          <w:rFonts w:ascii="Calibri" w:hAnsi="Calibri" w:cs="Calibri"/>
        </w:rPr>
      </w:pPr>
      <w:r w:rsidRPr="001A1127">
        <w:rPr>
          <w:rFonts w:ascii="Calibri" w:hAnsi="Calibri" w:cs="Calibri"/>
        </w:rPr>
        <w:t>Present energy consumption data in graphical reporting formats (for example, histograms, line plots, etc.), and in user selectable time intervals / divisions / bases.</w:t>
      </w:r>
    </w:p>
    <w:p w14:paraId="44F0F00E" w14:textId="77777777" w:rsidR="001A1127" w:rsidRDefault="001A1127" w:rsidP="001A1127">
      <w:pPr>
        <w:pStyle w:val="ListParagraph"/>
        <w:numPr>
          <w:ilvl w:val="0"/>
          <w:numId w:val="6"/>
        </w:numPr>
        <w:rPr>
          <w:rFonts w:ascii="Calibri" w:hAnsi="Calibri" w:cs="Calibri"/>
        </w:rPr>
      </w:pPr>
      <w:r w:rsidRPr="001A1127">
        <w:rPr>
          <w:rFonts w:ascii="Calibri" w:hAnsi="Calibri" w:cs="Calibri"/>
        </w:rPr>
        <w:t>Export the collected energy data in a standard format for use in other applications (for example, ASCII files or other formats commonly used by standard office applications).</w:t>
      </w:r>
    </w:p>
    <w:p w14:paraId="6A361CEE" w14:textId="77777777" w:rsidR="001A1127" w:rsidRDefault="001A1127" w:rsidP="001A1127">
      <w:pPr>
        <w:pStyle w:val="ListParagraph"/>
        <w:numPr>
          <w:ilvl w:val="0"/>
          <w:numId w:val="6"/>
        </w:numPr>
        <w:rPr>
          <w:rFonts w:ascii="Calibri" w:hAnsi="Calibri" w:cs="Calibri"/>
        </w:rPr>
      </w:pPr>
      <w:r w:rsidRPr="001A1127">
        <w:rPr>
          <w:rFonts w:ascii="Calibri" w:hAnsi="Calibri" w:cs="Calibri"/>
        </w:rPr>
        <w:t>Retain a minimum of 2 complete years of metering data without loss of data resolution or accuracy, in a date/time stamped format, suitable for analysis of trends and patterns.</w:t>
      </w:r>
    </w:p>
    <w:p w14:paraId="3900BA1E" w14:textId="77777777" w:rsidR="001A1127" w:rsidRDefault="001A1127" w:rsidP="001A1127">
      <w:pPr>
        <w:rPr>
          <w:rFonts w:ascii="Calibri" w:hAnsi="Calibri" w:cs="Calibri"/>
        </w:rPr>
      </w:pPr>
      <w:r>
        <w:rPr>
          <w:rFonts w:ascii="Calibri" w:hAnsi="Calibri" w:cs="Calibri"/>
        </w:rPr>
        <w:t>For electricity, gas and heat meters, the system provides facilities to enable the user to:</w:t>
      </w:r>
    </w:p>
    <w:p w14:paraId="6BF0DAB3" w14:textId="77777777" w:rsidR="001A1127" w:rsidRDefault="001A1127" w:rsidP="001A1127">
      <w:pPr>
        <w:pStyle w:val="ListParagraph"/>
        <w:numPr>
          <w:ilvl w:val="0"/>
          <w:numId w:val="6"/>
        </w:numPr>
        <w:rPr>
          <w:rFonts w:ascii="Calibri" w:hAnsi="Calibri" w:cs="Calibri"/>
        </w:rPr>
      </w:pPr>
      <w:r w:rsidRPr="001A1127">
        <w:rPr>
          <w:rFonts w:ascii="Calibri" w:hAnsi="Calibri" w:cs="Calibri"/>
        </w:rPr>
        <w:t>Select datasets from individual meters and manipulate them by combining, comparing and calculating in order to analyse, identify and evaluate instances of energy waste.</w:t>
      </w:r>
    </w:p>
    <w:p w14:paraId="12030203" w14:textId="77777777" w:rsidR="001A1127" w:rsidRDefault="001A1127" w:rsidP="001A1127">
      <w:pPr>
        <w:pStyle w:val="ListParagraph"/>
        <w:numPr>
          <w:ilvl w:val="0"/>
          <w:numId w:val="6"/>
        </w:numPr>
        <w:rPr>
          <w:rFonts w:ascii="Calibri" w:hAnsi="Calibri" w:cs="Calibri"/>
        </w:rPr>
      </w:pPr>
      <w:r w:rsidRPr="001A1127">
        <w:rPr>
          <w:rFonts w:ascii="Calibri" w:hAnsi="Calibri" w:cs="Calibri"/>
        </w:rPr>
        <w:t>Undertake regression analysis using two variables in whatever frequency the dataset was obtained, and to display the results in graphical form with a correlation coefficient.</w:t>
      </w:r>
    </w:p>
    <w:p w14:paraId="3B335D73" w14:textId="77777777" w:rsidR="00E232DA" w:rsidRDefault="00E232DA" w:rsidP="00E232DA">
      <w:pPr>
        <w:pStyle w:val="ListParagraph"/>
        <w:rPr>
          <w:rFonts w:ascii="Calibri" w:hAnsi="Calibri" w:cs="Calibri"/>
        </w:rPr>
      </w:pPr>
    </w:p>
    <w:p w14:paraId="1870DFAB" w14:textId="5C72CD1B" w:rsidR="001A1127" w:rsidRDefault="001A1127" w:rsidP="001A1127">
      <w:pPr>
        <w:pStyle w:val="ListParagraph"/>
        <w:numPr>
          <w:ilvl w:val="0"/>
          <w:numId w:val="6"/>
        </w:numPr>
        <w:rPr>
          <w:rFonts w:ascii="Calibri" w:hAnsi="Calibri" w:cs="Calibri"/>
        </w:rPr>
      </w:pPr>
      <w:r w:rsidRPr="001A1127">
        <w:rPr>
          <w:rFonts w:ascii="Calibri" w:hAnsi="Calibri" w:cs="Calibri"/>
        </w:rPr>
        <w:t>Set up automatic exception reporting functions that are capable of basing exception reports on the raw data profile. The frequency capability of notifications should be kept at a minimum.</w:t>
      </w:r>
    </w:p>
    <w:p w14:paraId="3D416DE6" w14:textId="77777777" w:rsidR="001A1127" w:rsidRPr="00ED4AB2" w:rsidRDefault="001A1127" w:rsidP="001A1127">
      <w:pPr>
        <w:pStyle w:val="ListParagraph"/>
        <w:numPr>
          <w:ilvl w:val="0"/>
          <w:numId w:val="6"/>
        </w:numPr>
        <w:rPr>
          <w:rFonts w:ascii="Calibri" w:hAnsi="Calibri" w:cs="Calibri"/>
        </w:rPr>
      </w:pPr>
      <w:r w:rsidRPr="001A1127">
        <w:rPr>
          <w:rFonts w:ascii="Calibri" w:hAnsi="Calibri" w:cs="Calibri"/>
        </w:rPr>
        <w:t>Set up standard management reports that enable total energy consumption to be benchmarked against performance standards during a user selectable period. It may also be beneficial to compare energy consumption with the corresponding period in the previous year, including an analysis of energy use by meter, fuel type or energy accounting centre.</w:t>
      </w:r>
    </w:p>
    <w:p w14:paraId="1221F509" w14:textId="77777777" w:rsidR="009A5BDA" w:rsidRPr="009A5BDA" w:rsidRDefault="009A5BDA" w:rsidP="009A5BDA">
      <w:pPr>
        <w:rPr>
          <w:rFonts w:ascii="Calibri" w:hAnsi="Calibri" w:cs="Calibri"/>
          <w:b/>
        </w:rPr>
      </w:pPr>
      <w:r w:rsidRPr="009A5BDA">
        <w:rPr>
          <w:rFonts w:ascii="Calibri" w:hAnsi="Calibri" w:cs="Calibri"/>
          <w:b/>
        </w:rPr>
        <w:t>Standards</w:t>
      </w:r>
    </w:p>
    <w:p w14:paraId="3BC22400" w14:textId="77777777" w:rsidR="009A5BDA" w:rsidRDefault="009A5BDA" w:rsidP="009A5BDA">
      <w:pPr>
        <w:rPr>
          <w:rFonts w:ascii="Calibri" w:hAnsi="Calibri" w:cs="Calibri"/>
        </w:rPr>
      </w:pPr>
      <w:r>
        <w:rPr>
          <w:rFonts w:ascii="Calibri" w:hAnsi="Calibri" w:cs="Calibri"/>
        </w:rPr>
        <w:t xml:space="preserve">Products have been </w:t>
      </w:r>
      <w:r w:rsidR="008850A6">
        <w:rPr>
          <w:rFonts w:ascii="Calibri" w:hAnsi="Calibri" w:cs="Calibri"/>
        </w:rPr>
        <w:t xml:space="preserve">assessed against </w:t>
      </w:r>
      <w:r w:rsidR="00AE1D66">
        <w:rPr>
          <w:rFonts w:ascii="Calibri" w:hAnsi="Calibri" w:cs="Calibri"/>
        </w:rPr>
        <w:t xml:space="preserve">the relevant requirements and standards for the meters included in the specified </w:t>
      </w:r>
      <w:proofErr w:type="spellStart"/>
      <w:r w:rsidR="00AE1D66">
        <w:rPr>
          <w:rFonts w:ascii="Calibri" w:hAnsi="Calibri" w:cs="Calibri"/>
        </w:rPr>
        <w:t>aM&amp;T</w:t>
      </w:r>
      <w:proofErr w:type="spellEnd"/>
      <w:r w:rsidR="00AE1D66">
        <w:rPr>
          <w:rFonts w:ascii="Calibri" w:hAnsi="Calibri" w:cs="Calibri"/>
        </w:rPr>
        <w:t xml:space="preserve"> </w:t>
      </w:r>
      <w:r w:rsidR="008850A6">
        <w:rPr>
          <w:rFonts w:ascii="Calibri" w:hAnsi="Calibri" w:cs="Calibri"/>
        </w:rPr>
        <w:t>sub</w:t>
      </w:r>
      <w:r w:rsidR="00134504">
        <w:rPr>
          <w:rFonts w:ascii="Calibri" w:hAnsi="Calibri" w:cs="Calibri"/>
        </w:rPr>
        <w:t>-</w:t>
      </w:r>
      <w:r w:rsidR="008850A6">
        <w:rPr>
          <w:rFonts w:ascii="Calibri" w:hAnsi="Calibri" w:cs="Calibri"/>
        </w:rPr>
        <w:t xml:space="preserve">metering </w:t>
      </w:r>
      <w:r w:rsidR="00AE1D66">
        <w:rPr>
          <w:rFonts w:ascii="Calibri" w:hAnsi="Calibri" w:cs="Calibri"/>
        </w:rPr>
        <w:t>system (please tick all relevant boxes</w:t>
      </w:r>
      <w:r w:rsidR="00C1798E">
        <w:rPr>
          <w:rFonts w:ascii="Calibri" w:hAnsi="Calibri" w:cs="Calibri"/>
        </w:rPr>
        <w:t>)</w:t>
      </w:r>
      <w:r>
        <w:rPr>
          <w:rFonts w:ascii="Calibri" w:hAnsi="Calibri" w:cs="Calibri"/>
        </w:rPr>
        <w:t>:</w:t>
      </w:r>
    </w:p>
    <w:p w14:paraId="21EBE3A7" w14:textId="77777777" w:rsidR="009A5BDA" w:rsidRDefault="002A5937" w:rsidP="009A5BDA">
      <w:pPr>
        <w:pStyle w:val="ListParagraph"/>
        <w:numPr>
          <w:ilvl w:val="0"/>
          <w:numId w:val="5"/>
        </w:numPr>
        <w:rPr>
          <w:rFonts w:ascii="Calibri" w:hAnsi="Calibri" w:cs="Calibri"/>
        </w:rPr>
      </w:pPr>
      <w:r>
        <w:rPr>
          <w:rFonts w:ascii="Calibri" w:hAnsi="Calibri" w:cs="Calibri"/>
        </w:rPr>
        <w:t>T</w:t>
      </w:r>
      <w:r w:rsidR="00706856">
        <w:rPr>
          <w:rFonts w:ascii="Calibri" w:hAnsi="Calibri" w:cs="Calibri"/>
        </w:rPr>
        <w:t>he</w:t>
      </w:r>
      <w:r>
        <w:rPr>
          <w:rFonts w:ascii="Calibri" w:hAnsi="Calibri" w:cs="Calibri"/>
        </w:rPr>
        <w:t xml:space="preserve"> relevant</w:t>
      </w:r>
      <w:r w:rsidR="00706856">
        <w:rPr>
          <w:rFonts w:ascii="Calibri" w:hAnsi="Calibri" w:cs="Calibri"/>
        </w:rPr>
        <w:t xml:space="preserve"> </w:t>
      </w:r>
      <w:r w:rsidR="008850A6">
        <w:rPr>
          <w:rFonts w:ascii="Calibri" w:hAnsi="Calibri" w:cs="Calibri"/>
        </w:rPr>
        <w:t xml:space="preserve">requirements and </w:t>
      </w:r>
      <w:r w:rsidR="00AE1D66">
        <w:rPr>
          <w:rFonts w:ascii="Calibri" w:hAnsi="Calibri" w:cs="Calibri"/>
        </w:rPr>
        <w:t>standards</w:t>
      </w:r>
      <w:r w:rsidR="00706856">
        <w:rPr>
          <w:rFonts w:ascii="Calibri" w:hAnsi="Calibri" w:cs="Calibri"/>
        </w:rPr>
        <w:t xml:space="preserve"> for e</w:t>
      </w:r>
      <w:r w:rsidR="009A5BDA">
        <w:rPr>
          <w:rFonts w:ascii="Calibri" w:hAnsi="Calibri" w:cs="Calibri"/>
        </w:rPr>
        <w:t xml:space="preserve">lectricity meters (as stated in the </w:t>
      </w:r>
      <w:proofErr w:type="spellStart"/>
      <w:r w:rsidR="009A5BDA">
        <w:rPr>
          <w:rFonts w:ascii="Calibri" w:hAnsi="Calibri" w:cs="Calibri"/>
        </w:rPr>
        <w:t>aM&amp;T</w:t>
      </w:r>
      <w:proofErr w:type="spellEnd"/>
      <w:r w:rsidR="009A5BDA">
        <w:rPr>
          <w:rFonts w:ascii="Calibri" w:hAnsi="Calibri" w:cs="Calibri"/>
        </w:rPr>
        <w:t xml:space="preserve"> </w:t>
      </w:r>
      <w:r w:rsidR="008850A6">
        <w:rPr>
          <w:rFonts w:ascii="Calibri" w:hAnsi="Calibri" w:cs="Calibri"/>
        </w:rPr>
        <w:t>sub</w:t>
      </w:r>
      <w:r w:rsidR="00134504">
        <w:rPr>
          <w:rFonts w:ascii="Calibri" w:hAnsi="Calibri" w:cs="Calibri"/>
        </w:rPr>
        <w:t>-</w:t>
      </w:r>
      <w:r w:rsidR="008850A6">
        <w:rPr>
          <w:rFonts w:ascii="Calibri" w:hAnsi="Calibri" w:cs="Calibri"/>
        </w:rPr>
        <w:t>metering system</w:t>
      </w:r>
      <w:r w:rsidR="00134504">
        <w:rPr>
          <w:rFonts w:ascii="Calibri" w:hAnsi="Calibri" w:cs="Calibri"/>
        </w:rPr>
        <w:t>s</w:t>
      </w:r>
      <w:r w:rsidR="008850A6">
        <w:rPr>
          <w:rFonts w:ascii="Calibri" w:hAnsi="Calibri" w:cs="Calibri"/>
        </w:rPr>
        <w:t xml:space="preserve"> </w:t>
      </w:r>
      <w:r w:rsidR="009A5BDA">
        <w:rPr>
          <w:rFonts w:ascii="Calibri" w:hAnsi="Calibri" w:cs="Calibri"/>
        </w:rPr>
        <w:t>criteria)</w:t>
      </w:r>
    </w:p>
    <w:p w14:paraId="7189345D" w14:textId="77777777" w:rsidR="009A5BDA" w:rsidRDefault="002A5937" w:rsidP="009A5BDA">
      <w:pPr>
        <w:pStyle w:val="ListParagraph"/>
        <w:numPr>
          <w:ilvl w:val="0"/>
          <w:numId w:val="5"/>
        </w:numPr>
        <w:rPr>
          <w:rFonts w:ascii="Calibri" w:hAnsi="Calibri" w:cs="Calibri"/>
        </w:rPr>
      </w:pPr>
      <w:r>
        <w:rPr>
          <w:rFonts w:ascii="Calibri" w:hAnsi="Calibri" w:cs="Calibri"/>
        </w:rPr>
        <w:t>T</w:t>
      </w:r>
      <w:r w:rsidR="009A5BDA">
        <w:rPr>
          <w:rFonts w:ascii="Calibri" w:hAnsi="Calibri" w:cs="Calibri"/>
        </w:rPr>
        <w:t>he</w:t>
      </w:r>
      <w:r>
        <w:rPr>
          <w:rFonts w:ascii="Calibri" w:hAnsi="Calibri" w:cs="Calibri"/>
        </w:rPr>
        <w:t xml:space="preserve"> relevant</w:t>
      </w:r>
      <w:r w:rsidR="009A5BDA">
        <w:rPr>
          <w:rFonts w:ascii="Calibri" w:hAnsi="Calibri" w:cs="Calibri"/>
        </w:rPr>
        <w:t xml:space="preserve"> </w:t>
      </w:r>
      <w:r w:rsidR="008850A6">
        <w:rPr>
          <w:rFonts w:ascii="Calibri" w:hAnsi="Calibri" w:cs="Calibri"/>
        </w:rPr>
        <w:t xml:space="preserve">requirements and </w:t>
      </w:r>
      <w:r w:rsidR="00AE1D66">
        <w:rPr>
          <w:rFonts w:ascii="Calibri" w:hAnsi="Calibri" w:cs="Calibri"/>
        </w:rPr>
        <w:t>standards</w:t>
      </w:r>
      <w:r w:rsidR="009A5BDA">
        <w:rPr>
          <w:rFonts w:ascii="Calibri" w:hAnsi="Calibri" w:cs="Calibri"/>
        </w:rPr>
        <w:t xml:space="preserve"> for </w:t>
      </w:r>
      <w:r w:rsidR="00706856">
        <w:rPr>
          <w:rFonts w:ascii="Calibri" w:hAnsi="Calibri" w:cs="Calibri"/>
        </w:rPr>
        <w:t>g</w:t>
      </w:r>
      <w:r w:rsidR="009A5BDA">
        <w:rPr>
          <w:rFonts w:ascii="Calibri" w:hAnsi="Calibri" w:cs="Calibri"/>
        </w:rPr>
        <w:t xml:space="preserve">as meters (as stated in the </w:t>
      </w:r>
      <w:proofErr w:type="spellStart"/>
      <w:r w:rsidR="009A5BDA">
        <w:rPr>
          <w:rFonts w:ascii="Calibri" w:hAnsi="Calibri" w:cs="Calibri"/>
        </w:rPr>
        <w:t>aM&amp;T</w:t>
      </w:r>
      <w:proofErr w:type="spellEnd"/>
      <w:r w:rsidR="009A5BDA">
        <w:rPr>
          <w:rFonts w:ascii="Calibri" w:hAnsi="Calibri" w:cs="Calibri"/>
        </w:rPr>
        <w:t xml:space="preserve"> </w:t>
      </w:r>
      <w:r w:rsidR="008850A6">
        <w:rPr>
          <w:rFonts w:ascii="Calibri" w:hAnsi="Calibri" w:cs="Calibri"/>
        </w:rPr>
        <w:t>sub</w:t>
      </w:r>
      <w:r w:rsidR="00134504">
        <w:rPr>
          <w:rFonts w:ascii="Calibri" w:hAnsi="Calibri" w:cs="Calibri"/>
        </w:rPr>
        <w:t>-</w:t>
      </w:r>
      <w:r w:rsidR="008850A6">
        <w:rPr>
          <w:rFonts w:ascii="Calibri" w:hAnsi="Calibri" w:cs="Calibri"/>
        </w:rPr>
        <w:t>metering system</w:t>
      </w:r>
      <w:r w:rsidR="00134504">
        <w:rPr>
          <w:rFonts w:ascii="Calibri" w:hAnsi="Calibri" w:cs="Calibri"/>
        </w:rPr>
        <w:t>s</w:t>
      </w:r>
      <w:r w:rsidR="008850A6">
        <w:rPr>
          <w:rFonts w:ascii="Calibri" w:hAnsi="Calibri" w:cs="Calibri"/>
        </w:rPr>
        <w:t xml:space="preserve"> </w:t>
      </w:r>
      <w:r w:rsidR="009A5BDA">
        <w:rPr>
          <w:rFonts w:ascii="Calibri" w:hAnsi="Calibri" w:cs="Calibri"/>
        </w:rPr>
        <w:t>criteria)</w:t>
      </w:r>
    </w:p>
    <w:p w14:paraId="37AAC48E" w14:textId="77777777" w:rsidR="009A5BDA" w:rsidRDefault="002A5937" w:rsidP="009A5BDA">
      <w:pPr>
        <w:pStyle w:val="ListParagraph"/>
        <w:numPr>
          <w:ilvl w:val="0"/>
          <w:numId w:val="5"/>
        </w:numPr>
        <w:rPr>
          <w:rFonts w:ascii="Calibri" w:hAnsi="Calibri" w:cs="Calibri"/>
        </w:rPr>
      </w:pPr>
      <w:r>
        <w:rPr>
          <w:rFonts w:ascii="Calibri" w:hAnsi="Calibri" w:cs="Calibri"/>
        </w:rPr>
        <w:t>T</w:t>
      </w:r>
      <w:r w:rsidR="00706856">
        <w:rPr>
          <w:rFonts w:ascii="Calibri" w:hAnsi="Calibri" w:cs="Calibri"/>
        </w:rPr>
        <w:t xml:space="preserve">he </w:t>
      </w:r>
      <w:r>
        <w:rPr>
          <w:rFonts w:ascii="Calibri" w:hAnsi="Calibri" w:cs="Calibri"/>
        </w:rPr>
        <w:t xml:space="preserve">relevant </w:t>
      </w:r>
      <w:r w:rsidR="00AE1D66">
        <w:rPr>
          <w:rFonts w:ascii="Calibri" w:hAnsi="Calibri" w:cs="Calibri"/>
        </w:rPr>
        <w:t xml:space="preserve">standards </w:t>
      </w:r>
      <w:r w:rsidR="00706856">
        <w:rPr>
          <w:rFonts w:ascii="Calibri" w:hAnsi="Calibri" w:cs="Calibri"/>
        </w:rPr>
        <w:t>for h</w:t>
      </w:r>
      <w:r w:rsidR="009A5BDA">
        <w:rPr>
          <w:rFonts w:ascii="Calibri" w:hAnsi="Calibri" w:cs="Calibri"/>
        </w:rPr>
        <w:t xml:space="preserve">eat meters (as stated in the </w:t>
      </w:r>
      <w:proofErr w:type="spellStart"/>
      <w:r w:rsidR="009A5BDA">
        <w:rPr>
          <w:rFonts w:ascii="Calibri" w:hAnsi="Calibri" w:cs="Calibri"/>
        </w:rPr>
        <w:t>aM&amp;T</w:t>
      </w:r>
      <w:proofErr w:type="spellEnd"/>
      <w:r w:rsidR="009A5BDA">
        <w:rPr>
          <w:rFonts w:ascii="Calibri" w:hAnsi="Calibri" w:cs="Calibri"/>
        </w:rPr>
        <w:t xml:space="preserve"> </w:t>
      </w:r>
      <w:r w:rsidR="008850A6">
        <w:rPr>
          <w:rFonts w:ascii="Calibri" w:hAnsi="Calibri" w:cs="Calibri"/>
        </w:rPr>
        <w:t>sub</w:t>
      </w:r>
      <w:r w:rsidR="00134504">
        <w:rPr>
          <w:rFonts w:ascii="Calibri" w:hAnsi="Calibri" w:cs="Calibri"/>
        </w:rPr>
        <w:t>-</w:t>
      </w:r>
      <w:r w:rsidR="008850A6">
        <w:rPr>
          <w:rFonts w:ascii="Calibri" w:hAnsi="Calibri" w:cs="Calibri"/>
        </w:rPr>
        <w:t>metering system</w:t>
      </w:r>
      <w:r w:rsidR="00134504">
        <w:rPr>
          <w:rFonts w:ascii="Calibri" w:hAnsi="Calibri" w:cs="Calibri"/>
        </w:rPr>
        <w:t>s</w:t>
      </w:r>
      <w:r w:rsidR="008850A6">
        <w:rPr>
          <w:rFonts w:ascii="Calibri" w:hAnsi="Calibri" w:cs="Calibri"/>
        </w:rPr>
        <w:t xml:space="preserve"> </w:t>
      </w:r>
      <w:r w:rsidR="009A5BDA">
        <w:rPr>
          <w:rFonts w:ascii="Calibri" w:hAnsi="Calibri" w:cs="Calibri"/>
        </w:rPr>
        <w:t>criteria)</w:t>
      </w:r>
    </w:p>
    <w:p w14:paraId="2D433D4D" w14:textId="77777777" w:rsidR="009A5BDA" w:rsidRDefault="002A5937" w:rsidP="009A5BDA">
      <w:pPr>
        <w:pStyle w:val="ListParagraph"/>
        <w:numPr>
          <w:ilvl w:val="0"/>
          <w:numId w:val="5"/>
        </w:numPr>
        <w:rPr>
          <w:rFonts w:ascii="Calibri" w:hAnsi="Calibri" w:cs="Calibri"/>
        </w:rPr>
      </w:pPr>
      <w:r>
        <w:rPr>
          <w:rFonts w:ascii="Calibri" w:hAnsi="Calibri" w:cs="Calibri"/>
        </w:rPr>
        <w:t>The</w:t>
      </w:r>
      <w:r w:rsidR="009A5BDA">
        <w:rPr>
          <w:rFonts w:ascii="Calibri" w:hAnsi="Calibri" w:cs="Calibri"/>
        </w:rPr>
        <w:t xml:space="preserve"> rel</w:t>
      </w:r>
      <w:r w:rsidR="00706856">
        <w:rPr>
          <w:rFonts w:ascii="Calibri" w:hAnsi="Calibri" w:cs="Calibri"/>
        </w:rPr>
        <w:t xml:space="preserve">evant </w:t>
      </w:r>
      <w:r w:rsidR="00AE1D66">
        <w:rPr>
          <w:rFonts w:ascii="Calibri" w:hAnsi="Calibri" w:cs="Calibri"/>
        </w:rPr>
        <w:t>requirements</w:t>
      </w:r>
      <w:r w:rsidR="00706856">
        <w:rPr>
          <w:rFonts w:ascii="Calibri" w:hAnsi="Calibri" w:cs="Calibri"/>
        </w:rPr>
        <w:t xml:space="preserve"> for o</w:t>
      </w:r>
      <w:r w:rsidR="009A5BDA">
        <w:rPr>
          <w:rFonts w:ascii="Calibri" w:hAnsi="Calibri" w:cs="Calibri"/>
        </w:rPr>
        <w:t xml:space="preserve">il fuel flow meters (as stated in the </w:t>
      </w:r>
      <w:proofErr w:type="spellStart"/>
      <w:r w:rsidR="009A5BDA">
        <w:rPr>
          <w:rFonts w:ascii="Calibri" w:hAnsi="Calibri" w:cs="Calibri"/>
        </w:rPr>
        <w:t>aM&amp;T</w:t>
      </w:r>
      <w:proofErr w:type="spellEnd"/>
      <w:r w:rsidR="009A5BDA">
        <w:rPr>
          <w:rFonts w:ascii="Calibri" w:hAnsi="Calibri" w:cs="Calibri"/>
        </w:rPr>
        <w:t xml:space="preserve"> </w:t>
      </w:r>
      <w:r w:rsidR="008850A6">
        <w:rPr>
          <w:rFonts w:ascii="Calibri" w:hAnsi="Calibri" w:cs="Calibri"/>
        </w:rPr>
        <w:t>sub</w:t>
      </w:r>
      <w:r w:rsidR="00134504">
        <w:rPr>
          <w:rFonts w:ascii="Calibri" w:hAnsi="Calibri" w:cs="Calibri"/>
        </w:rPr>
        <w:t>-</w:t>
      </w:r>
      <w:r w:rsidR="008850A6">
        <w:rPr>
          <w:rFonts w:ascii="Calibri" w:hAnsi="Calibri" w:cs="Calibri"/>
        </w:rPr>
        <w:t>metering system</w:t>
      </w:r>
      <w:r w:rsidR="00134504">
        <w:rPr>
          <w:rFonts w:ascii="Calibri" w:hAnsi="Calibri" w:cs="Calibri"/>
        </w:rPr>
        <w:t>s</w:t>
      </w:r>
      <w:r w:rsidR="008850A6">
        <w:rPr>
          <w:rFonts w:ascii="Calibri" w:hAnsi="Calibri" w:cs="Calibri"/>
        </w:rPr>
        <w:t xml:space="preserve"> </w:t>
      </w:r>
      <w:r w:rsidR="009A5BDA">
        <w:rPr>
          <w:rFonts w:ascii="Calibri" w:hAnsi="Calibri" w:cs="Calibri"/>
        </w:rPr>
        <w:t xml:space="preserve">criteria) </w:t>
      </w:r>
    </w:p>
    <w:p w14:paraId="079371EB" w14:textId="77777777" w:rsidR="00706856" w:rsidRDefault="00706856" w:rsidP="009A5BDA">
      <w:pPr>
        <w:pStyle w:val="ListParagraph"/>
        <w:numPr>
          <w:ilvl w:val="0"/>
          <w:numId w:val="5"/>
        </w:numPr>
        <w:rPr>
          <w:rFonts w:ascii="Calibri" w:hAnsi="Calibri" w:cs="Calibri"/>
        </w:rPr>
      </w:pPr>
      <w:r>
        <w:rPr>
          <w:rFonts w:ascii="Calibri" w:hAnsi="Calibri" w:cs="Calibri"/>
        </w:rPr>
        <w:t xml:space="preserve">The relevant </w:t>
      </w:r>
      <w:r w:rsidR="00AE1D66">
        <w:rPr>
          <w:rFonts w:ascii="Calibri" w:hAnsi="Calibri" w:cs="Calibri"/>
        </w:rPr>
        <w:t>requirements</w:t>
      </w:r>
      <w:r>
        <w:rPr>
          <w:rFonts w:ascii="Calibri" w:hAnsi="Calibri" w:cs="Calibri"/>
        </w:rPr>
        <w:t xml:space="preserve"> for compressed air mass flow meters (as stated in the </w:t>
      </w:r>
      <w:proofErr w:type="spellStart"/>
      <w:r>
        <w:rPr>
          <w:rFonts w:ascii="Calibri" w:hAnsi="Calibri" w:cs="Calibri"/>
        </w:rPr>
        <w:t>aM&amp;T</w:t>
      </w:r>
      <w:proofErr w:type="spellEnd"/>
      <w:r>
        <w:rPr>
          <w:rFonts w:ascii="Calibri" w:hAnsi="Calibri" w:cs="Calibri"/>
        </w:rPr>
        <w:t xml:space="preserve"> </w:t>
      </w:r>
      <w:r w:rsidR="008850A6">
        <w:rPr>
          <w:rFonts w:ascii="Calibri" w:hAnsi="Calibri" w:cs="Calibri"/>
        </w:rPr>
        <w:t>sub</w:t>
      </w:r>
      <w:r w:rsidR="00134504">
        <w:rPr>
          <w:rFonts w:ascii="Calibri" w:hAnsi="Calibri" w:cs="Calibri"/>
        </w:rPr>
        <w:t>-</w:t>
      </w:r>
      <w:r w:rsidR="008850A6">
        <w:rPr>
          <w:rFonts w:ascii="Calibri" w:hAnsi="Calibri" w:cs="Calibri"/>
        </w:rPr>
        <w:t>metering system</w:t>
      </w:r>
      <w:r w:rsidR="00134504">
        <w:rPr>
          <w:rFonts w:ascii="Calibri" w:hAnsi="Calibri" w:cs="Calibri"/>
        </w:rPr>
        <w:t>s</w:t>
      </w:r>
      <w:r w:rsidR="008850A6">
        <w:rPr>
          <w:rFonts w:ascii="Calibri" w:hAnsi="Calibri" w:cs="Calibri"/>
        </w:rPr>
        <w:t xml:space="preserve"> </w:t>
      </w:r>
      <w:r>
        <w:rPr>
          <w:rFonts w:ascii="Calibri" w:hAnsi="Calibri" w:cs="Calibri"/>
        </w:rPr>
        <w:t>criteria)</w:t>
      </w:r>
    </w:p>
    <w:p w14:paraId="3E85E7AA" w14:textId="77777777" w:rsidR="00706856" w:rsidRDefault="00706856" w:rsidP="009A5BDA">
      <w:pPr>
        <w:pStyle w:val="ListParagraph"/>
        <w:numPr>
          <w:ilvl w:val="0"/>
          <w:numId w:val="5"/>
        </w:numPr>
        <w:rPr>
          <w:rFonts w:ascii="Calibri" w:hAnsi="Calibri" w:cs="Calibri"/>
        </w:rPr>
      </w:pPr>
      <w:r>
        <w:rPr>
          <w:rFonts w:ascii="Calibri" w:hAnsi="Calibri" w:cs="Calibri"/>
        </w:rPr>
        <w:t xml:space="preserve">The relevant </w:t>
      </w:r>
      <w:r w:rsidR="00AE1D66">
        <w:rPr>
          <w:rFonts w:ascii="Calibri" w:hAnsi="Calibri" w:cs="Calibri"/>
        </w:rPr>
        <w:t>requirements and standards</w:t>
      </w:r>
      <w:r>
        <w:rPr>
          <w:rFonts w:ascii="Calibri" w:hAnsi="Calibri" w:cs="Calibri"/>
        </w:rPr>
        <w:t xml:space="preserve"> for steam meters (as stated in the </w:t>
      </w:r>
      <w:proofErr w:type="spellStart"/>
      <w:r>
        <w:rPr>
          <w:rFonts w:ascii="Calibri" w:hAnsi="Calibri" w:cs="Calibri"/>
        </w:rPr>
        <w:t>aM&amp;T</w:t>
      </w:r>
      <w:proofErr w:type="spellEnd"/>
      <w:r>
        <w:rPr>
          <w:rFonts w:ascii="Calibri" w:hAnsi="Calibri" w:cs="Calibri"/>
        </w:rPr>
        <w:t xml:space="preserve"> </w:t>
      </w:r>
      <w:r w:rsidR="008850A6">
        <w:rPr>
          <w:rFonts w:ascii="Calibri" w:hAnsi="Calibri" w:cs="Calibri"/>
        </w:rPr>
        <w:t>sub</w:t>
      </w:r>
      <w:r w:rsidR="00134504">
        <w:rPr>
          <w:rFonts w:ascii="Calibri" w:hAnsi="Calibri" w:cs="Calibri"/>
        </w:rPr>
        <w:t>-</w:t>
      </w:r>
      <w:r w:rsidR="008850A6">
        <w:rPr>
          <w:rFonts w:ascii="Calibri" w:hAnsi="Calibri" w:cs="Calibri"/>
        </w:rPr>
        <w:t>metering system</w:t>
      </w:r>
      <w:r w:rsidR="00134504">
        <w:rPr>
          <w:rFonts w:ascii="Calibri" w:hAnsi="Calibri" w:cs="Calibri"/>
        </w:rPr>
        <w:t>s</w:t>
      </w:r>
      <w:r w:rsidR="008850A6">
        <w:rPr>
          <w:rFonts w:ascii="Calibri" w:hAnsi="Calibri" w:cs="Calibri"/>
        </w:rPr>
        <w:t xml:space="preserve"> </w:t>
      </w:r>
      <w:r>
        <w:rPr>
          <w:rFonts w:ascii="Calibri" w:hAnsi="Calibri" w:cs="Calibri"/>
        </w:rPr>
        <w:t>criteria).</w:t>
      </w:r>
    </w:p>
    <w:p w14:paraId="32152D70" w14:textId="77777777" w:rsidR="002A5937" w:rsidRDefault="002A5937" w:rsidP="009A5BDA">
      <w:pPr>
        <w:pStyle w:val="ListParagraph"/>
        <w:numPr>
          <w:ilvl w:val="0"/>
          <w:numId w:val="5"/>
        </w:numPr>
        <w:rPr>
          <w:rFonts w:ascii="Calibri" w:hAnsi="Calibri" w:cs="Calibri"/>
        </w:rPr>
      </w:pPr>
      <w:r>
        <w:rPr>
          <w:rFonts w:ascii="Calibri" w:hAnsi="Calibri" w:cs="Calibri"/>
        </w:rPr>
        <w:t xml:space="preserve">The relevant </w:t>
      </w:r>
      <w:r w:rsidR="00AE1D66">
        <w:rPr>
          <w:rFonts w:ascii="Calibri" w:hAnsi="Calibri" w:cs="Calibri"/>
        </w:rPr>
        <w:t>standards</w:t>
      </w:r>
      <w:r>
        <w:rPr>
          <w:rFonts w:ascii="Calibri" w:hAnsi="Calibri" w:cs="Calibri"/>
        </w:rPr>
        <w:t xml:space="preserve"> for instrument transformers (as stated in the </w:t>
      </w:r>
      <w:proofErr w:type="spellStart"/>
      <w:r>
        <w:rPr>
          <w:rFonts w:ascii="Calibri" w:hAnsi="Calibri" w:cs="Calibri"/>
        </w:rPr>
        <w:t>aM&amp;T</w:t>
      </w:r>
      <w:proofErr w:type="spellEnd"/>
      <w:r>
        <w:rPr>
          <w:rFonts w:ascii="Calibri" w:hAnsi="Calibri" w:cs="Calibri"/>
        </w:rPr>
        <w:t xml:space="preserve"> </w:t>
      </w:r>
      <w:r w:rsidR="008850A6">
        <w:rPr>
          <w:rFonts w:ascii="Calibri" w:hAnsi="Calibri" w:cs="Calibri"/>
        </w:rPr>
        <w:t>sub</w:t>
      </w:r>
      <w:r w:rsidR="00134504">
        <w:rPr>
          <w:rFonts w:ascii="Calibri" w:hAnsi="Calibri" w:cs="Calibri"/>
        </w:rPr>
        <w:t>-</w:t>
      </w:r>
      <w:r w:rsidR="008850A6">
        <w:rPr>
          <w:rFonts w:ascii="Calibri" w:hAnsi="Calibri" w:cs="Calibri"/>
        </w:rPr>
        <w:t>metering system</w:t>
      </w:r>
      <w:r w:rsidR="00134504">
        <w:rPr>
          <w:rFonts w:ascii="Calibri" w:hAnsi="Calibri" w:cs="Calibri"/>
        </w:rPr>
        <w:t>s</w:t>
      </w:r>
      <w:r w:rsidR="008850A6">
        <w:rPr>
          <w:rFonts w:ascii="Calibri" w:hAnsi="Calibri" w:cs="Calibri"/>
        </w:rPr>
        <w:t xml:space="preserve"> </w:t>
      </w:r>
      <w:r>
        <w:rPr>
          <w:rFonts w:ascii="Calibri" w:hAnsi="Calibri" w:cs="Calibri"/>
        </w:rPr>
        <w:t xml:space="preserve">criteria). </w:t>
      </w:r>
    </w:p>
    <w:p w14:paraId="717D02DE" w14:textId="77777777" w:rsidR="00706856" w:rsidRPr="003B7140" w:rsidRDefault="00BF2863" w:rsidP="00706856">
      <w:pPr>
        <w:rPr>
          <w:rFonts w:ascii="Calibri" w:hAnsi="Calibri" w:cs="Calibri"/>
          <w:b/>
        </w:rPr>
      </w:pPr>
      <w:r w:rsidRPr="003B7140">
        <w:rPr>
          <w:rFonts w:ascii="Calibri" w:hAnsi="Calibri" w:cs="Calibri"/>
          <w:b/>
        </w:rPr>
        <w:t>Other</w:t>
      </w:r>
    </w:p>
    <w:p w14:paraId="63E3EF0A" w14:textId="77777777" w:rsidR="00BF2863" w:rsidRDefault="00BF2863" w:rsidP="00706856">
      <w:pPr>
        <w:rPr>
          <w:rFonts w:ascii="Calibri" w:hAnsi="Calibri" w:cs="Calibri"/>
        </w:rPr>
      </w:pPr>
      <w:r>
        <w:rPr>
          <w:rFonts w:ascii="Calibri" w:hAnsi="Calibri" w:cs="Calibri"/>
        </w:rPr>
        <w:t>This product checklist is accompanied by:</w:t>
      </w:r>
    </w:p>
    <w:p w14:paraId="3A563E28" w14:textId="77777777" w:rsidR="00BF2863" w:rsidRDefault="00BF2863" w:rsidP="00BF2863">
      <w:pPr>
        <w:pStyle w:val="ListParagraph"/>
        <w:numPr>
          <w:ilvl w:val="0"/>
          <w:numId w:val="7"/>
        </w:numPr>
        <w:rPr>
          <w:rFonts w:ascii="Calibri" w:hAnsi="Calibri" w:cs="Calibri"/>
        </w:rPr>
      </w:pPr>
      <w:r>
        <w:rPr>
          <w:rFonts w:ascii="Calibri" w:hAnsi="Calibri" w:cs="Calibri"/>
        </w:rPr>
        <w:t>A statement of compliance on company letter headed paper (see recommended wording below)</w:t>
      </w:r>
    </w:p>
    <w:p w14:paraId="199B511C" w14:textId="77777777" w:rsidR="00BF2863" w:rsidRPr="00BF2863" w:rsidRDefault="00BF2863" w:rsidP="00BF2863">
      <w:pPr>
        <w:pStyle w:val="ListParagraph"/>
        <w:numPr>
          <w:ilvl w:val="0"/>
          <w:numId w:val="7"/>
        </w:numPr>
        <w:rPr>
          <w:rFonts w:ascii="Calibri" w:hAnsi="Calibri" w:cs="Calibri"/>
        </w:rPr>
      </w:pPr>
      <w:r>
        <w:rPr>
          <w:rFonts w:ascii="Calibri" w:hAnsi="Calibri" w:cs="Calibri"/>
        </w:rPr>
        <w:t>A technical datasheet to support the compliance claims</w:t>
      </w:r>
    </w:p>
    <w:p w14:paraId="76836B12" w14:textId="77777777" w:rsidR="00706856" w:rsidRDefault="00706856" w:rsidP="00706856">
      <w:pPr>
        <w:rPr>
          <w:rFonts w:ascii="Calibri" w:hAnsi="Calibri" w:cs="Calibri"/>
        </w:rPr>
      </w:pPr>
    </w:p>
    <w:p w14:paraId="2AAF91D1" w14:textId="77777777" w:rsidR="00706856" w:rsidRDefault="00706856" w:rsidP="00706856">
      <w:pPr>
        <w:rPr>
          <w:rFonts w:ascii="Calibri" w:hAnsi="Calibri" w:cs="Calibri"/>
        </w:rPr>
      </w:pPr>
    </w:p>
    <w:p w14:paraId="2C79D791" w14:textId="77777777" w:rsidR="00706856" w:rsidRDefault="00706856" w:rsidP="00706856">
      <w:pPr>
        <w:rPr>
          <w:rFonts w:ascii="Calibri" w:hAnsi="Calibri" w:cs="Calibri"/>
        </w:rPr>
      </w:pPr>
    </w:p>
    <w:p w14:paraId="594FAAF1" w14:textId="77777777" w:rsidR="00706856" w:rsidRDefault="00706856" w:rsidP="00706856">
      <w:pPr>
        <w:rPr>
          <w:rFonts w:ascii="Calibri" w:hAnsi="Calibri" w:cs="Calibri"/>
        </w:rPr>
      </w:pPr>
    </w:p>
    <w:p w14:paraId="605DD483" w14:textId="77777777" w:rsidR="00706856" w:rsidRDefault="00706856" w:rsidP="00706856">
      <w:pPr>
        <w:rPr>
          <w:rFonts w:ascii="Calibri" w:hAnsi="Calibri" w:cs="Calibri"/>
        </w:rPr>
      </w:pPr>
    </w:p>
    <w:p w14:paraId="0AAE9430" w14:textId="72C03167" w:rsidR="008C2BF6" w:rsidRDefault="008C2BF6">
      <w:pPr>
        <w:rPr>
          <w:rFonts w:ascii="Calibri" w:eastAsia="Calibri" w:hAnsi="Calibri"/>
        </w:rPr>
      </w:pPr>
      <w:r>
        <w:rPr>
          <w:rFonts w:ascii="Calibri" w:eastAsia="Calibri" w:hAnsi="Calibri"/>
        </w:rPr>
        <w:br w:type="page"/>
      </w:r>
    </w:p>
    <w:p w14:paraId="523420F9" w14:textId="77777777" w:rsidR="006F1A04" w:rsidRDefault="006F1A04">
      <w:pPr>
        <w:rPr>
          <w:rFonts w:ascii="Calibri" w:eastAsia="Calibri" w:hAnsi="Calibri"/>
        </w:rPr>
      </w:pPr>
    </w:p>
    <w:p w14:paraId="6677ACCF" w14:textId="77777777" w:rsidR="00706856" w:rsidRPr="00601F81" w:rsidRDefault="00706856" w:rsidP="00706856">
      <w:pPr>
        <w:ind w:left="360"/>
        <w:rPr>
          <w:rFonts w:ascii="Calibri" w:eastAsia="Calibri" w:hAnsi="Calibri"/>
        </w:rPr>
      </w:pPr>
      <w:r w:rsidRPr="00601F81">
        <w:rPr>
          <w:rFonts w:ascii="Calibri" w:eastAsia="Calibri" w:hAnsi="Calibri"/>
        </w:rPr>
        <w:t>[INSERT COMPANY LETTERHEAD / LOGO]</w:t>
      </w:r>
    </w:p>
    <w:p w14:paraId="182D63F5" w14:textId="77777777" w:rsidR="00706856" w:rsidRPr="00601F81" w:rsidRDefault="00706856" w:rsidP="00706856">
      <w:pPr>
        <w:ind w:left="360"/>
        <w:rPr>
          <w:rFonts w:ascii="Calibri" w:eastAsia="Calibri" w:hAnsi="Calibri"/>
        </w:rPr>
      </w:pPr>
    </w:p>
    <w:p w14:paraId="206070EB" w14:textId="77777777" w:rsidR="00706856" w:rsidRPr="00601F81" w:rsidRDefault="00706856" w:rsidP="00706856">
      <w:pPr>
        <w:ind w:left="360"/>
        <w:rPr>
          <w:rFonts w:ascii="Calibri" w:eastAsia="Calibri" w:hAnsi="Calibri"/>
        </w:rPr>
      </w:pPr>
      <w:r>
        <w:rPr>
          <w:rFonts w:ascii="Calibri" w:eastAsia="Calibri" w:hAnsi="Calibri"/>
        </w:rPr>
        <w:t xml:space="preserve">Statement of compliance </w:t>
      </w:r>
    </w:p>
    <w:p w14:paraId="2ED8A2B7" w14:textId="77777777" w:rsidR="00706856" w:rsidRPr="00601F81" w:rsidRDefault="00706856" w:rsidP="00706856">
      <w:pPr>
        <w:ind w:left="360"/>
        <w:rPr>
          <w:rFonts w:ascii="Calibri" w:eastAsia="Calibri" w:hAnsi="Calibri"/>
        </w:rPr>
      </w:pPr>
    </w:p>
    <w:p w14:paraId="47E71AED" w14:textId="77777777" w:rsidR="00706856" w:rsidRDefault="00706856" w:rsidP="00706856">
      <w:pPr>
        <w:ind w:left="360"/>
        <w:rPr>
          <w:rFonts w:ascii="Calibri" w:eastAsia="Calibri" w:hAnsi="Calibri"/>
        </w:rPr>
      </w:pPr>
      <w:r w:rsidRPr="00601F81">
        <w:rPr>
          <w:rFonts w:ascii="Calibri" w:eastAsia="Calibri" w:hAnsi="Calibri"/>
        </w:rPr>
        <w:t>[Company name] confirms that product</w:t>
      </w:r>
      <w:r>
        <w:rPr>
          <w:rFonts w:ascii="Calibri" w:eastAsia="Calibri" w:hAnsi="Calibri"/>
        </w:rPr>
        <w:t>(s)</w:t>
      </w:r>
      <w:r w:rsidRPr="00601F81">
        <w:rPr>
          <w:rFonts w:ascii="Calibri" w:eastAsia="Calibri" w:hAnsi="Calibri"/>
        </w:rPr>
        <w:t xml:space="preserve"> name</w:t>
      </w:r>
      <w:r>
        <w:rPr>
          <w:rFonts w:ascii="Calibri" w:eastAsia="Calibri" w:hAnsi="Calibri"/>
        </w:rPr>
        <w:t>d</w:t>
      </w:r>
      <w:r w:rsidRPr="00601F81">
        <w:rPr>
          <w:rFonts w:ascii="Calibri" w:eastAsia="Calibri" w:hAnsi="Calibri"/>
        </w:rPr>
        <w:t xml:space="preserve"> </w:t>
      </w:r>
      <w:r>
        <w:rPr>
          <w:rFonts w:ascii="Calibri" w:eastAsia="Calibri" w:hAnsi="Calibri"/>
        </w:rPr>
        <w:t xml:space="preserve">on the </w:t>
      </w:r>
      <w:r w:rsidR="008C2BF6" w:rsidRPr="008C2BF6">
        <w:rPr>
          <w:rFonts w:ascii="Calibri" w:eastAsia="Calibri" w:hAnsi="Calibri"/>
        </w:rPr>
        <w:t>Automatic Monitoring &amp; Targeting Sub-metering Systems</w:t>
      </w:r>
      <w:r>
        <w:rPr>
          <w:rFonts w:ascii="Calibri" w:eastAsia="Calibri" w:hAnsi="Calibri"/>
        </w:rPr>
        <w:t xml:space="preserve"> </w:t>
      </w:r>
      <w:r w:rsidRPr="004B6D8B">
        <w:rPr>
          <w:rFonts w:ascii="Calibri" w:eastAsia="Calibri" w:hAnsi="Calibri"/>
        </w:rPr>
        <w:t>Product Compliance Checklist</w:t>
      </w:r>
      <w:r>
        <w:rPr>
          <w:rFonts w:ascii="Calibri" w:eastAsia="Calibri" w:hAnsi="Calibri"/>
        </w:rPr>
        <w:t xml:space="preserve"> meet all eligibility requirements of </w:t>
      </w:r>
      <w:r w:rsidRPr="00601F81">
        <w:rPr>
          <w:rFonts w:ascii="Calibri" w:eastAsia="Calibri" w:hAnsi="Calibri"/>
        </w:rPr>
        <w:t xml:space="preserve">the Energy Technology List </w:t>
      </w:r>
      <w:r w:rsidR="008C2BF6" w:rsidRPr="008C2BF6">
        <w:rPr>
          <w:rFonts w:ascii="Calibri" w:eastAsia="Calibri" w:hAnsi="Calibri"/>
        </w:rPr>
        <w:t xml:space="preserve">Automatic Monitoring &amp; Targeting Sub-metering Systems </w:t>
      </w:r>
      <w:r w:rsidRPr="00601F81">
        <w:rPr>
          <w:rFonts w:ascii="Calibri" w:eastAsia="Calibri" w:hAnsi="Calibri"/>
        </w:rPr>
        <w:t xml:space="preserve">criteria. </w:t>
      </w:r>
    </w:p>
    <w:p w14:paraId="0800C4C7" w14:textId="77777777" w:rsidR="00706856" w:rsidRDefault="00706856" w:rsidP="00706856">
      <w:pPr>
        <w:ind w:left="360"/>
        <w:rPr>
          <w:rFonts w:ascii="Calibri" w:eastAsia="Calibri" w:hAnsi="Calibri"/>
        </w:rPr>
      </w:pPr>
    </w:p>
    <w:p w14:paraId="2089AF22" w14:textId="6C1EB1B0" w:rsidR="00706856" w:rsidRPr="00601F81" w:rsidRDefault="00706856" w:rsidP="00706856">
      <w:pPr>
        <w:ind w:left="360"/>
        <w:rPr>
          <w:rFonts w:ascii="Calibri" w:eastAsia="Calibri" w:hAnsi="Calibri"/>
        </w:rPr>
      </w:pPr>
      <w:r>
        <w:rPr>
          <w:rFonts w:ascii="Calibri" w:eastAsia="Calibri" w:hAnsi="Calibri"/>
        </w:rPr>
        <w:t>T</w:t>
      </w:r>
      <w:r w:rsidRPr="00601F81">
        <w:rPr>
          <w:rFonts w:ascii="Calibri" w:eastAsia="Calibri" w:hAnsi="Calibri"/>
        </w:rPr>
        <w:t>echnical datasheets have been provided to support this statement</w:t>
      </w:r>
      <w:r>
        <w:rPr>
          <w:rFonts w:ascii="Calibri" w:eastAsia="Calibri" w:hAnsi="Calibri"/>
        </w:rPr>
        <w:t xml:space="preserve"> of compliance and the </w:t>
      </w:r>
      <w:r w:rsidR="008C2BF6" w:rsidRPr="008C2BF6">
        <w:rPr>
          <w:rFonts w:ascii="Calibri" w:eastAsia="Calibri" w:hAnsi="Calibri"/>
        </w:rPr>
        <w:t>Automatic Monitoring &amp; Targeting Sub-metering Systems</w:t>
      </w:r>
      <w:r w:rsidRPr="004B6D8B">
        <w:rPr>
          <w:rFonts w:ascii="Calibri" w:eastAsia="Calibri" w:hAnsi="Calibri"/>
        </w:rPr>
        <w:t xml:space="preserve"> Product Compliance Checklist</w:t>
      </w:r>
      <w:r w:rsidRPr="00601F81">
        <w:rPr>
          <w:rFonts w:ascii="Calibri" w:eastAsia="Calibri" w:hAnsi="Calibri"/>
        </w:rPr>
        <w:t xml:space="preserve">. </w:t>
      </w:r>
      <w:r>
        <w:rPr>
          <w:rFonts w:ascii="Calibri" w:eastAsia="Calibri" w:hAnsi="Calibri"/>
        </w:rPr>
        <w:t xml:space="preserve">  </w:t>
      </w:r>
      <w:r w:rsidRPr="00601F81">
        <w:rPr>
          <w:rFonts w:ascii="Calibri" w:eastAsia="Calibri" w:hAnsi="Calibri"/>
        </w:rPr>
        <w:t xml:space="preserve">We confirm that the relevant </w:t>
      </w:r>
      <w:r w:rsidR="0030075C">
        <w:rPr>
          <w:rFonts w:ascii="Calibri" w:eastAsia="Calibri" w:hAnsi="Calibri"/>
        </w:rPr>
        <w:t>Conformity Assessment marks</w:t>
      </w:r>
      <w:r w:rsidRPr="00601F81">
        <w:rPr>
          <w:rFonts w:ascii="Calibri" w:eastAsia="Calibri" w:hAnsi="Calibri"/>
        </w:rPr>
        <w:t xml:space="preserve"> are available and will be provided on request.</w:t>
      </w:r>
    </w:p>
    <w:p w14:paraId="5D105E9A" w14:textId="77777777" w:rsidR="00706856" w:rsidRPr="00601F81" w:rsidRDefault="00706856" w:rsidP="00706856">
      <w:pPr>
        <w:ind w:left="360"/>
        <w:rPr>
          <w:rFonts w:ascii="Calibri" w:eastAsia="Calibri" w:hAnsi="Calibri"/>
        </w:rPr>
      </w:pPr>
    </w:p>
    <w:p w14:paraId="580A1D13" w14:textId="77777777" w:rsidR="00706856" w:rsidRPr="00601F81" w:rsidRDefault="00706856" w:rsidP="00706856">
      <w:pPr>
        <w:ind w:left="360"/>
        <w:rPr>
          <w:rFonts w:ascii="Calibri" w:eastAsia="Calibri" w:hAnsi="Calibri"/>
        </w:rPr>
      </w:pPr>
    </w:p>
    <w:p w14:paraId="170A47A8" w14:textId="77777777" w:rsidR="00706856" w:rsidRPr="00601F81" w:rsidRDefault="00706856" w:rsidP="00706856">
      <w:pPr>
        <w:ind w:left="360"/>
        <w:rPr>
          <w:rFonts w:ascii="Calibri" w:eastAsia="Calibri" w:hAnsi="Calibri"/>
        </w:rPr>
      </w:pPr>
    </w:p>
    <w:p w14:paraId="006BC523" w14:textId="77777777" w:rsidR="00706856" w:rsidRPr="00601F81" w:rsidRDefault="00706856" w:rsidP="00706856">
      <w:pPr>
        <w:ind w:left="360"/>
        <w:rPr>
          <w:rFonts w:ascii="Calibri" w:eastAsia="Calibri" w:hAnsi="Calibri"/>
        </w:rPr>
      </w:pPr>
      <w:r w:rsidRPr="00601F81">
        <w:rPr>
          <w:rFonts w:ascii="Calibri" w:eastAsia="Calibri" w:hAnsi="Calibri"/>
        </w:rPr>
        <w:t>Signed</w:t>
      </w:r>
      <w:r w:rsidRPr="00601F81">
        <w:rPr>
          <w:rFonts w:ascii="Calibri" w:eastAsia="Calibri" w:hAnsi="Calibri"/>
        </w:rPr>
        <w:tab/>
      </w:r>
      <w:r w:rsidRPr="00601F81">
        <w:rPr>
          <w:rFonts w:ascii="Calibri" w:eastAsia="Calibri" w:hAnsi="Calibri"/>
        </w:rPr>
        <w:tab/>
      </w:r>
      <w:r w:rsidRPr="00601F81">
        <w:rPr>
          <w:rFonts w:ascii="Calibri" w:eastAsia="Calibri" w:hAnsi="Calibri"/>
        </w:rPr>
        <w:tab/>
      </w:r>
      <w:r w:rsidRPr="00601F81">
        <w:rPr>
          <w:rFonts w:ascii="Calibri" w:eastAsia="Calibri" w:hAnsi="Calibri"/>
        </w:rPr>
        <w:tab/>
      </w:r>
      <w:r w:rsidRPr="00601F81">
        <w:rPr>
          <w:rFonts w:ascii="Calibri" w:eastAsia="Calibri" w:hAnsi="Calibri"/>
        </w:rPr>
        <w:tab/>
      </w:r>
      <w:r w:rsidRPr="00601F81">
        <w:rPr>
          <w:rFonts w:ascii="Calibri" w:eastAsia="Calibri" w:hAnsi="Calibri"/>
        </w:rPr>
        <w:tab/>
        <w:t>Date</w:t>
      </w:r>
    </w:p>
    <w:p w14:paraId="41767FAB" w14:textId="77777777" w:rsidR="00706856" w:rsidRPr="00601F81" w:rsidRDefault="00706856" w:rsidP="00706856">
      <w:pPr>
        <w:ind w:left="360"/>
        <w:rPr>
          <w:rFonts w:ascii="Calibri" w:eastAsia="Calibri" w:hAnsi="Calibri"/>
        </w:rPr>
      </w:pPr>
      <w:r w:rsidRPr="00601F81">
        <w:rPr>
          <w:rFonts w:ascii="Calibri" w:eastAsia="Calibri" w:hAnsi="Calibri"/>
        </w:rPr>
        <w:t>______________________________</w:t>
      </w:r>
      <w:r w:rsidRPr="00601F81">
        <w:rPr>
          <w:rFonts w:ascii="Calibri" w:eastAsia="Calibri" w:hAnsi="Calibri"/>
        </w:rPr>
        <w:tab/>
      </w:r>
      <w:r w:rsidRPr="00601F81">
        <w:rPr>
          <w:rFonts w:ascii="Calibri" w:eastAsia="Calibri" w:hAnsi="Calibri"/>
        </w:rPr>
        <w:tab/>
        <w:t>_________________________________</w:t>
      </w:r>
    </w:p>
    <w:p w14:paraId="7A0CA68D" w14:textId="77777777" w:rsidR="00706856" w:rsidRPr="00601F81" w:rsidRDefault="00706856" w:rsidP="00706856">
      <w:pPr>
        <w:ind w:left="360"/>
        <w:rPr>
          <w:rFonts w:ascii="Calibri" w:eastAsia="Calibri" w:hAnsi="Calibri"/>
        </w:rPr>
      </w:pPr>
    </w:p>
    <w:p w14:paraId="525E55F3" w14:textId="77777777" w:rsidR="00706856" w:rsidRPr="00601F81" w:rsidRDefault="00706856" w:rsidP="00706856">
      <w:pPr>
        <w:ind w:left="360"/>
        <w:rPr>
          <w:rFonts w:ascii="Calibri" w:eastAsia="Calibri" w:hAnsi="Calibri"/>
        </w:rPr>
      </w:pPr>
      <w:r w:rsidRPr="00601F81">
        <w:rPr>
          <w:rFonts w:ascii="Calibri" w:eastAsia="Calibri" w:hAnsi="Calibri"/>
        </w:rPr>
        <w:t>Print name</w:t>
      </w:r>
      <w:r w:rsidRPr="00601F81">
        <w:rPr>
          <w:rFonts w:ascii="Calibri" w:eastAsia="Calibri" w:hAnsi="Calibri"/>
        </w:rPr>
        <w:tab/>
      </w:r>
      <w:r w:rsidRPr="00601F81">
        <w:rPr>
          <w:rFonts w:ascii="Calibri" w:eastAsia="Calibri" w:hAnsi="Calibri"/>
        </w:rPr>
        <w:tab/>
      </w:r>
      <w:r w:rsidRPr="00601F81">
        <w:rPr>
          <w:rFonts w:ascii="Calibri" w:eastAsia="Calibri" w:hAnsi="Calibri"/>
        </w:rPr>
        <w:tab/>
      </w:r>
      <w:r w:rsidRPr="00601F81">
        <w:rPr>
          <w:rFonts w:ascii="Calibri" w:eastAsia="Calibri" w:hAnsi="Calibri"/>
        </w:rPr>
        <w:tab/>
      </w:r>
      <w:r w:rsidRPr="00601F81">
        <w:rPr>
          <w:rFonts w:ascii="Calibri" w:eastAsia="Calibri" w:hAnsi="Calibri"/>
        </w:rPr>
        <w:tab/>
      </w:r>
      <w:r w:rsidRPr="00601F81">
        <w:rPr>
          <w:rFonts w:ascii="Calibri" w:eastAsia="Calibri" w:hAnsi="Calibri"/>
        </w:rPr>
        <w:tab/>
        <w:t xml:space="preserve">Job title </w:t>
      </w:r>
      <w:r w:rsidRPr="00601F81">
        <w:rPr>
          <w:rFonts w:ascii="Calibri" w:eastAsia="Calibri" w:hAnsi="Calibri"/>
        </w:rPr>
        <w:tab/>
      </w:r>
      <w:r w:rsidRPr="00601F81">
        <w:rPr>
          <w:rFonts w:ascii="Calibri" w:eastAsia="Calibri" w:hAnsi="Calibri"/>
        </w:rPr>
        <w:tab/>
      </w:r>
      <w:r w:rsidRPr="00601F81">
        <w:rPr>
          <w:rFonts w:ascii="Calibri" w:eastAsia="Calibri" w:hAnsi="Calibri"/>
        </w:rPr>
        <w:tab/>
      </w:r>
    </w:p>
    <w:p w14:paraId="08142652" w14:textId="77777777" w:rsidR="00706856" w:rsidRPr="00601F81" w:rsidRDefault="00706856" w:rsidP="00706856">
      <w:pPr>
        <w:ind w:left="360"/>
        <w:rPr>
          <w:rFonts w:ascii="Calibri" w:eastAsia="Calibri" w:hAnsi="Calibri"/>
        </w:rPr>
      </w:pPr>
      <w:r w:rsidRPr="00601F81">
        <w:rPr>
          <w:rFonts w:ascii="Calibri" w:eastAsia="Calibri" w:hAnsi="Calibri"/>
        </w:rPr>
        <w:t>______________________________</w:t>
      </w:r>
      <w:r w:rsidRPr="00601F81">
        <w:rPr>
          <w:rFonts w:ascii="Calibri" w:eastAsia="Calibri" w:hAnsi="Calibri"/>
        </w:rPr>
        <w:tab/>
      </w:r>
      <w:r w:rsidRPr="00601F81">
        <w:rPr>
          <w:rFonts w:ascii="Calibri" w:eastAsia="Calibri" w:hAnsi="Calibri"/>
        </w:rPr>
        <w:tab/>
        <w:t>_________________________________</w:t>
      </w:r>
      <w:r w:rsidRPr="00601F81">
        <w:rPr>
          <w:rFonts w:ascii="Calibri" w:eastAsia="Calibri" w:hAnsi="Calibri"/>
        </w:rPr>
        <w:tab/>
      </w:r>
    </w:p>
    <w:p w14:paraId="080EBF81" w14:textId="77777777" w:rsidR="00706856" w:rsidRPr="00601F81" w:rsidRDefault="00706856" w:rsidP="00706856">
      <w:pPr>
        <w:ind w:left="360"/>
        <w:rPr>
          <w:rFonts w:ascii="Calibri" w:eastAsia="Calibri" w:hAnsi="Calibri"/>
        </w:rPr>
      </w:pPr>
    </w:p>
    <w:p w14:paraId="38D575AE" w14:textId="77777777" w:rsidR="00706856" w:rsidRPr="00601F81" w:rsidRDefault="00706856" w:rsidP="00706856">
      <w:pPr>
        <w:ind w:left="360"/>
        <w:rPr>
          <w:rFonts w:ascii="Calibri" w:eastAsia="Calibri" w:hAnsi="Calibri"/>
          <w:i/>
          <w:iCs/>
          <w:color w:val="808080"/>
        </w:rPr>
      </w:pPr>
    </w:p>
    <w:p w14:paraId="40832418" w14:textId="77777777" w:rsidR="00706856" w:rsidRPr="00706856" w:rsidRDefault="00706856" w:rsidP="00706856">
      <w:pPr>
        <w:rPr>
          <w:rFonts w:ascii="Calibri" w:hAnsi="Calibri" w:cs="Calibri"/>
        </w:rPr>
      </w:pPr>
    </w:p>
    <w:p w14:paraId="020C885C" w14:textId="77777777" w:rsidR="007425AE" w:rsidRPr="00232074" w:rsidRDefault="007425AE" w:rsidP="00232074">
      <w:pPr>
        <w:rPr>
          <w:rFonts w:ascii="Calibri" w:hAnsi="Calibri" w:cs="Calibri"/>
        </w:rPr>
      </w:pPr>
    </w:p>
    <w:sectPr w:rsidR="007425AE" w:rsidRPr="00232074" w:rsidSect="00EC42FC">
      <w:headerReference w:type="default" r:id="rId16"/>
      <w:pgSz w:w="11906" w:h="16838"/>
      <w:pgMar w:top="851"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7AD1B" w14:textId="77777777" w:rsidR="00B137DA" w:rsidRDefault="00B137DA" w:rsidP="00EC42FC">
      <w:pPr>
        <w:spacing w:after="0" w:line="240" w:lineRule="auto"/>
      </w:pPr>
      <w:r>
        <w:separator/>
      </w:r>
    </w:p>
  </w:endnote>
  <w:endnote w:type="continuationSeparator" w:id="0">
    <w:p w14:paraId="0168A194" w14:textId="77777777" w:rsidR="00B137DA" w:rsidRDefault="00B137DA" w:rsidP="00EC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2DF46" w14:textId="77777777" w:rsidR="00B137DA" w:rsidRDefault="00B137DA" w:rsidP="00EC42FC">
      <w:pPr>
        <w:spacing w:after="0" w:line="240" w:lineRule="auto"/>
      </w:pPr>
      <w:r>
        <w:separator/>
      </w:r>
    </w:p>
  </w:footnote>
  <w:footnote w:type="continuationSeparator" w:id="0">
    <w:p w14:paraId="455C4FA1" w14:textId="77777777" w:rsidR="00B137DA" w:rsidRDefault="00B137DA" w:rsidP="00EC4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5B98" w14:textId="166929BC" w:rsidR="009E3DB2" w:rsidRDefault="008C675D">
    <w:pPr>
      <w:pStyle w:val="Header"/>
    </w:pPr>
    <w:r>
      <w:t>E</w:t>
    </w:r>
    <w:r w:rsidR="001215D2">
      <w:t>TL</w:t>
    </w:r>
    <w:r>
      <w:t xml:space="preserve"> Guidance Note 14</w:t>
    </w:r>
    <w:r>
      <w:tab/>
    </w:r>
    <w:r>
      <w:tab/>
    </w:r>
    <w:r w:rsidR="00F90305">
      <w:t>February</w:t>
    </w:r>
    <w:r>
      <w:t xml:space="preserve"> 202</w:t>
    </w:r>
    <w:r w:rsidR="00F9030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24E40"/>
    <w:multiLevelType w:val="hybridMultilevel"/>
    <w:tmpl w:val="38F0CAE8"/>
    <w:lvl w:ilvl="0" w:tplc="C340E9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366D4C"/>
    <w:multiLevelType w:val="hybridMultilevel"/>
    <w:tmpl w:val="B888DEA8"/>
    <w:lvl w:ilvl="0" w:tplc="A53807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A1985"/>
    <w:multiLevelType w:val="hybridMultilevel"/>
    <w:tmpl w:val="7DE67028"/>
    <w:lvl w:ilvl="0" w:tplc="FB209C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35B34"/>
    <w:multiLevelType w:val="hybridMultilevel"/>
    <w:tmpl w:val="43B86EB4"/>
    <w:lvl w:ilvl="0" w:tplc="A53807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8530F"/>
    <w:multiLevelType w:val="hybridMultilevel"/>
    <w:tmpl w:val="669E4CD2"/>
    <w:lvl w:ilvl="0" w:tplc="A53807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25916"/>
    <w:multiLevelType w:val="hybridMultilevel"/>
    <w:tmpl w:val="E7207428"/>
    <w:lvl w:ilvl="0" w:tplc="A53807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975F31"/>
    <w:multiLevelType w:val="hybridMultilevel"/>
    <w:tmpl w:val="6756BCCC"/>
    <w:lvl w:ilvl="0" w:tplc="A53807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B0"/>
    <w:rsid w:val="00031793"/>
    <w:rsid w:val="000B1EF4"/>
    <w:rsid w:val="000B63F3"/>
    <w:rsid w:val="001215D2"/>
    <w:rsid w:val="00134504"/>
    <w:rsid w:val="00194E5E"/>
    <w:rsid w:val="001A1127"/>
    <w:rsid w:val="00232074"/>
    <w:rsid w:val="002655AD"/>
    <w:rsid w:val="002A5937"/>
    <w:rsid w:val="002B487F"/>
    <w:rsid w:val="0030075C"/>
    <w:rsid w:val="003548A5"/>
    <w:rsid w:val="00365FFC"/>
    <w:rsid w:val="00390646"/>
    <w:rsid w:val="003A44A6"/>
    <w:rsid w:val="003B7140"/>
    <w:rsid w:val="003E30ED"/>
    <w:rsid w:val="003E7070"/>
    <w:rsid w:val="004015DE"/>
    <w:rsid w:val="00461800"/>
    <w:rsid w:val="00525FC5"/>
    <w:rsid w:val="00547EBA"/>
    <w:rsid w:val="00584835"/>
    <w:rsid w:val="006F1A04"/>
    <w:rsid w:val="007016DF"/>
    <w:rsid w:val="00706856"/>
    <w:rsid w:val="007425AE"/>
    <w:rsid w:val="00794E34"/>
    <w:rsid w:val="007D0F30"/>
    <w:rsid w:val="008565A5"/>
    <w:rsid w:val="00876308"/>
    <w:rsid w:val="008850A6"/>
    <w:rsid w:val="008C2BF6"/>
    <w:rsid w:val="008C675D"/>
    <w:rsid w:val="00994133"/>
    <w:rsid w:val="009A53B0"/>
    <w:rsid w:val="009A5BDA"/>
    <w:rsid w:val="009C551A"/>
    <w:rsid w:val="009D2521"/>
    <w:rsid w:val="009E3DB2"/>
    <w:rsid w:val="00A35C09"/>
    <w:rsid w:val="00A9385C"/>
    <w:rsid w:val="00AE1D66"/>
    <w:rsid w:val="00B137DA"/>
    <w:rsid w:val="00B20C7D"/>
    <w:rsid w:val="00BF2863"/>
    <w:rsid w:val="00C1798E"/>
    <w:rsid w:val="00CA0E20"/>
    <w:rsid w:val="00DB4D64"/>
    <w:rsid w:val="00E232DA"/>
    <w:rsid w:val="00E636E0"/>
    <w:rsid w:val="00EC42FC"/>
    <w:rsid w:val="00ED4AB2"/>
    <w:rsid w:val="00F90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827CB1"/>
  <w15:chartTrackingRefBased/>
  <w15:docId w15:val="{F527D2D5-DEA3-4491-B948-8D755EB5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3B0"/>
    <w:pPr>
      <w:ind w:left="720"/>
      <w:contextualSpacing/>
    </w:pPr>
  </w:style>
  <w:style w:type="character" w:styleId="Hyperlink">
    <w:name w:val="Hyperlink"/>
    <w:basedOn w:val="DefaultParagraphFont"/>
    <w:uiPriority w:val="99"/>
    <w:unhideWhenUsed/>
    <w:rsid w:val="00232074"/>
    <w:rPr>
      <w:color w:val="0563C1" w:themeColor="hyperlink"/>
      <w:u w:val="single"/>
    </w:rPr>
  </w:style>
  <w:style w:type="table" w:customStyle="1" w:styleId="TableGrid1">
    <w:name w:val="Table Grid1"/>
    <w:basedOn w:val="TableNormal"/>
    <w:next w:val="TableGrid"/>
    <w:uiPriority w:val="39"/>
    <w:rsid w:val="002320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2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5C09"/>
    <w:rPr>
      <w:sz w:val="16"/>
      <w:szCs w:val="16"/>
    </w:rPr>
  </w:style>
  <w:style w:type="paragraph" w:styleId="CommentText">
    <w:name w:val="annotation text"/>
    <w:basedOn w:val="Normal"/>
    <w:link w:val="CommentTextChar"/>
    <w:uiPriority w:val="99"/>
    <w:semiHidden/>
    <w:unhideWhenUsed/>
    <w:rsid w:val="00A35C09"/>
    <w:pPr>
      <w:spacing w:line="240" w:lineRule="auto"/>
    </w:pPr>
    <w:rPr>
      <w:sz w:val="20"/>
      <w:szCs w:val="20"/>
    </w:rPr>
  </w:style>
  <w:style w:type="character" w:customStyle="1" w:styleId="CommentTextChar">
    <w:name w:val="Comment Text Char"/>
    <w:basedOn w:val="DefaultParagraphFont"/>
    <w:link w:val="CommentText"/>
    <w:uiPriority w:val="99"/>
    <w:semiHidden/>
    <w:rsid w:val="00A35C09"/>
    <w:rPr>
      <w:sz w:val="20"/>
      <w:szCs w:val="20"/>
    </w:rPr>
  </w:style>
  <w:style w:type="paragraph" w:styleId="CommentSubject">
    <w:name w:val="annotation subject"/>
    <w:basedOn w:val="CommentText"/>
    <w:next w:val="CommentText"/>
    <w:link w:val="CommentSubjectChar"/>
    <w:uiPriority w:val="99"/>
    <w:semiHidden/>
    <w:unhideWhenUsed/>
    <w:rsid w:val="00A35C09"/>
    <w:rPr>
      <w:b/>
      <w:bCs/>
    </w:rPr>
  </w:style>
  <w:style w:type="character" w:customStyle="1" w:styleId="CommentSubjectChar">
    <w:name w:val="Comment Subject Char"/>
    <w:basedOn w:val="CommentTextChar"/>
    <w:link w:val="CommentSubject"/>
    <w:uiPriority w:val="99"/>
    <w:semiHidden/>
    <w:rsid w:val="00A35C09"/>
    <w:rPr>
      <w:b/>
      <w:bCs/>
      <w:sz w:val="20"/>
      <w:szCs w:val="20"/>
    </w:rPr>
  </w:style>
  <w:style w:type="paragraph" w:styleId="BalloonText">
    <w:name w:val="Balloon Text"/>
    <w:basedOn w:val="Normal"/>
    <w:link w:val="BalloonTextChar"/>
    <w:uiPriority w:val="99"/>
    <w:semiHidden/>
    <w:unhideWhenUsed/>
    <w:rsid w:val="00A35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C09"/>
    <w:rPr>
      <w:rFonts w:ascii="Segoe UI" w:hAnsi="Segoe UI" w:cs="Segoe UI"/>
      <w:sz w:val="18"/>
      <w:szCs w:val="18"/>
    </w:rPr>
  </w:style>
  <w:style w:type="character" w:styleId="FollowedHyperlink">
    <w:name w:val="FollowedHyperlink"/>
    <w:basedOn w:val="DefaultParagraphFont"/>
    <w:uiPriority w:val="99"/>
    <w:semiHidden/>
    <w:unhideWhenUsed/>
    <w:rsid w:val="003B7140"/>
    <w:rPr>
      <w:color w:val="954F72" w:themeColor="followedHyperlink"/>
      <w:u w:val="single"/>
    </w:rPr>
  </w:style>
  <w:style w:type="paragraph" w:styleId="Header">
    <w:name w:val="header"/>
    <w:basedOn w:val="Normal"/>
    <w:link w:val="HeaderChar"/>
    <w:uiPriority w:val="99"/>
    <w:unhideWhenUsed/>
    <w:rsid w:val="00EC4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2FC"/>
  </w:style>
  <w:style w:type="paragraph" w:styleId="Footer">
    <w:name w:val="footer"/>
    <w:basedOn w:val="Normal"/>
    <w:link w:val="FooterChar"/>
    <w:uiPriority w:val="99"/>
    <w:unhideWhenUsed/>
    <w:rsid w:val="00EC4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2FC"/>
  </w:style>
  <w:style w:type="character" w:styleId="UnresolvedMention">
    <w:name w:val="Unresolved Mention"/>
    <w:basedOn w:val="DefaultParagraphFont"/>
    <w:uiPriority w:val="99"/>
    <w:semiHidden/>
    <w:unhideWhenUsed/>
    <w:rsid w:val="00121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tl.beis.gov.uk/products/automatic-monitoring-targeting-amt/automatic-monitoring-targeting-amt-sub-metering-syste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LQuestions@carbontrust.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tl.beis.gov.uk/products/automatic-monitoring-targeting-a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b0c4a29-7cf9-4535-91f5-5c2575b83772">CTKC-1339144375-1797</_dlc_DocId>
    <Document_x0020_Type xmlns="24345e34-837d-4c3c-8ab9-2454188f1c1b">TO3 - Content Management</Document_x0020_Type>
    <Status xmlns="24345e34-837d-4c3c-8ab9-2454188f1c1b">Current</Status>
    <_dlc_DocIdUrl xmlns="db0c4a29-7cf9-4535-91f5-5c2575b83772">
      <Url>https://carbontrust.sharepoint.com/sites/Knowledge/Projects/ETL Lot 1 Delivery/_layouts/15/DocIdRedir.aspx?ID=CTKC-1339144375-1797</Url>
      <Description>CTKC-1339144375-1797</Description>
    </_dlc_DocIdUrl>
    <g231af9a2bc74da4a3594bcdc0ef9465 xmlns="db0c4a29-7cf9-4535-91f5-5c2575b83772">
      <Terms xmlns="http://schemas.microsoft.com/office/infopath/2007/PartnerControls"/>
    </g231af9a2bc74da4a3594bcdc0ef9465>
    <TaxKeywordTaxHTField xmlns="db0c4a29-7cf9-4535-91f5-5c2575b83772">
      <Terms xmlns="http://schemas.microsoft.com/office/infopath/2007/PartnerControls"/>
    </TaxKeywordTaxHTField>
    <k944b6971d7a410d99e5d41980842442 xmlns="db0c4a29-7cf9-4535-91f5-5c2575b83772">
      <Terms xmlns="http://schemas.microsoft.com/office/infopath/2007/PartnerControls"/>
    </k944b6971d7a410d99e5d41980842442>
    <TaxCatchAll xmlns="db0c4a29-7cf9-4535-91f5-5c2575b83772"/>
    <e1lt xmlns="24345e34-837d-4c3c-8ab9-2454188f1c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ject document" ma:contentTypeID="0x01010026B8503CF5E1EB4FB3E5B4D8F196897600AB42648F15206E448B974EFD06B84436" ma:contentTypeVersion="15" ma:contentTypeDescription="" ma:contentTypeScope="" ma:versionID="c7896c26f3a8443b79075481a96636b7">
  <xsd:schema xmlns:xsd="http://www.w3.org/2001/XMLSchema" xmlns:xs="http://www.w3.org/2001/XMLSchema" xmlns:p="http://schemas.microsoft.com/office/2006/metadata/properties" xmlns:ns2="db0c4a29-7cf9-4535-91f5-5c2575b83772" xmlns:ns3="24345e34-837d-4c3c-8ab9-2454188f1c1b" targetNamespace="http://schemas.microsoft.com/office/2006/metadata/properties" ma:root="true" ma:fieldsID="863cc96c4ebdaf2f2aa00f7b5eb6bd03" ns2:_="" ns3:_="">
    <xsd:import namespace="db0c4a29-7cf9-4535-91f5-5c2575b83772"/>
    <xsd:import namespace="24345e34-837d-4c3c-8ab9-2454188f1c1b"/>
    <xsd:element name="properties">
      <xsd:complexType>
        <xsd:sequence>
          <xsd:element name="documentManagement">
            <xsd:complexType>
              <xsd:all>
                <xsd:element ref="ns2:TaxKeywordTaxHTField" minOccurs="0"/>
                <xsd:element ref="ns2:TaxCatchAll" minOccurs="0"/>
                <xsd:element ref="ns2:TaxCatchAllLabel" minOccurs="0"/>
                <xsd:element ref="ns2:g231af9a2bc74da4a3594bcdc0ef9465" minOccurs="0"/>
                <xsd:element ref="ns2:k944b6971d7a410d99e5d41980842442" minOccurs="0"/>
                <xsd:element ref="ns3:MediaServiceMetadata" minOccurs="0"/>
                <xsd:element ref="ns3:MediaServiceFastMetadata" minOccurs="0"/>
                <xsd:element ref="ns3:Document_x0020_Type" minOccurs="0"/>
                <xsd:element ref="ns2:_dlc_DocId" minOccurs="0"/>
                <xsd:element ref="ns2:_dlc_DocIdUrl" minOccurs="0"/>
                <xsd:element ref="ns2:_dlc_DocIdPersistId" minOccurs="0"/>
                <xsd:element ref="ns3:Status" minOccurs="0"/>
                <xsd:element ref="ns2:SharedWithUsers" minOccurs="0"/>
                <xsd:element ref="ns2:SharedWithDetails" minOccurs="0"/>
                <xsd:element ref="ns3:e1lt"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c4a29-7cf9-4535-91f5-5c2575b8377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14c6e9a-4c33-454e-8dc9-9e27271d2f41"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7abd786-0324-4ae2-8273-49c056235099}" ma:internalName="TaxCatchAll" ma:showField="CatchAllData" ma:web="db0c4a29-7cf9-4535-91f5-5c2575b837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abd786-0324-4ae2-8273-49c056235099}" ma:internalName="TaxCatchAllLabel" ma:readOnly="true" ma:showField="CatchAllDataLabel" ma:web="db0c4a29-7cf9-4535-91f5-5c2575b83772">
      <xsd:complexType>
        <xsd:complexContent>
          <xsd:extension base="dms:MultiChoiceLookup">
            <xsd:sequence>
              <xsd:element name="Value" type="dms:Lookup" maxOccurs="unbounded" minOccurs="0" nillable="true"/>
            </xsd:sequence>
          </xsd:extension>
        </xsd:complexContent>
      </xsd:complexType>
    </xsd:element>
    <xsd:element name="g231af9a2bc74da4a3594bcdc0ef9465" ma:index="12" nillable="true" ma:taxonomy="true" ma:internalName="g231af9a2bc74da4a3594bcdc0ef9465" ma:taxonomyFieldName="MMKeyDocument" ma:displayName="Key Document" ma:readOnly="false" ma:default="" ma:fieldId="{0231af9a-2bc7-4da4-a359-4bcdc0ef9465}" ma:sspId="914c6e9a-4c33-454e-8dc9-9e27271d2f41" ma:termSetId="cc2bd459-6ca1-42a5-9f82-5e615524eef3" ma:anchorId="00000000-0000-0000-0000-000000000000" ma:open="false" ma:isKeyword="false">
      <xsd:complexType>
        <xsd:sequence>
          <xsd:element ref="pc:Terms" minOccurs="0" maxOccurs="1"/>
        </xsd:sequence>
      </xsd:complexType>
    </xsd:element>
    <xsd:element name="k944b6971d7a410d99e5d41980842442" ma:index="15" nillable="true" ma:taxonomy="true" ma:internalName="k944b6971d7a410d99e5d41980842442" ma:taxonomyFieldName="MMProjectDocumentType" ma:displayName="Project Document Type" ma:default="" ma:fieldId="{4944b697-1d7a-410d-99e5-d41980842442}" ma:sspId="914c6e9a-4c33-454e-8dc9-9e27271d2f41" ma:termSetId="c3930a51-4b00-410b-b6b9-59ae6a18648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45e34-837d-4c3c-8ab9-2454188f1c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Document_x0020_Type" ma:index="18" nillable="true" ma:displayName="Document Type" ma:default="TO3 - Content Management" ma:format="Dropdown" ma:internalName="Document_x0020_Type">
      <xsd:simpleType>
        <xsd:restriction base="dms:Choice">
          <xsd:enumeration value="TO3 - Content Management"/>
          <xsd:enumeration value="TO3 - Website"/>
          <xsd:enumeration value="TO1 - Programme Management"/>
          <xsd:enumeration value="TO2 - Applications"/>
          <xsd:enumeration value="TO2 - Enquiries"/>
          <xsd:enumeration value="TO2 - Logo compliance"/>
          <xsd:enumeration value="TO4 - Treasury Order"/>
          <xsd:enumeration value="TO5 - Promotion/Awareness"/>
          <xsd:enumeration value="Other"/>
        </xsd:restriction>
      </xsd:simpleType>
    </xsd:element>
    <xsd:element name="Status" ma:index="22" nillable="true" ma:displayName="Status" ma:default="Current" ma:format="Dropdown" ma:internalName="Status">
      <xsd:simpleType>
        <xsd:restriction base="dms:Choice">
          <xsd:enumeration value="Current"/>
          <xsd:enumeration value="Archive"/>
        </xsd:restriction>
      </xsd:simpleType>
    </xsd:element>
    <xsd:element name="e1lt" ma:index="25" nillable="true" ma:displayName="Text" ma:internalName="e1lt">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F8643-1EFE-4423-BB23-0FCE0DDD05B7}">
  <ds:schemaRefs>
    <ds:schemaRef ds:uri="http://schemas.microsoft.com/sharepoint/events"/>
  </ds:schemaRefs>
</ds:datastoreItem>
</file>

<file path=customXml/itemProps2.xml><?xml version="1.0" encoding="utf-8"?>
<ds:datastoreItem xmlns:ds="http://schemas.openxmlformats.org/officeDocument/2006/customXml" ds:itemID="{5E4541F9-BD75-4ACF-B599-6AF5F99066FF}">
  <ds:schemaRefs>
    <ds:schemaRef ds:uri="http://schemas.microsoft.com/office/2006/metadata/properties"/>
    <ds:schemaRef ds:uri="24345e34-837d-4c3c-8ab9-2454188f1c1b"/>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db0c4a29-7cf9-4535-91f5-5c2575b83772"/>
  </ds:schemaRefs>
</ds:datastoreItem>
</file>

<file path=customXml/itemProps3.xml><?xml version="1.0" encoding="utf-8"?>
<ds:datastoreItem xmlns:ds="http://schemas.openxmlformats.org/officeDocument/2006/customXml" ds:itemID="{94315031-B0EF-4126-A632-F8EDF9C74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c4a29-7cf9-4535-91f5-5c2575b83772"/>
    <ds:schemaRef ds:uri="24345e34-837d-4c3c-8ab9-2454188f1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0D522-C9EC-4EB9-9C2C-241D72E4225D}">
  <ds:schemaRefs>
    <ds:schemaRef ds:uri="http://schemas.microsoft.com/sharepoint/v3/contenttype/forms"/>
  </ds:schemaRefs>
</ds:datastoreItem>
</file>

<file path=customXml/itemProps5.xml><?xml version="1.0" encoding="utf-8"?>
<ds:datastoreItem xmlns:ds="http://schemas.openxmlformats.org/officeDocument/2006/customXml" ds:itemID="{B1F742D4-5DEC-46FD-A2D4-FBE25692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Carbon Trust</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Franklin</dc:creator>
  <cp:keywords/>
  <dc:description/>
  <cp:lastModifiedBy>May Laghzaoui</cp:lastModifiedBy>
  <cp:revision>4</cp:revision>
  <cp:lastPrinted>2018-04-13T09:31:00Z</cp:lastPrinted>
  <dcterms:created xsi:type="dcterms:W3CDTF">2021-02-02T14:04:00Z</dcterms:created>
  <dcterms:modified xsi:type="dcterms:W3CDTF">2021-03-09T10:43:00Z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0x01010026B8503CF5E1EB4FB3E5B4D8F196897600AB42648F15206E448B974EFD06B84436</vt:lpwstr>
  </property>
  <property fmtid="{D5CDD505-2E9C-101B-9397-08002B2CF9AE}" pid="3" name="_dlc_DocIdItemGuid">
    <vt:lpwstr>edc29c63-d5ff-49d9-a523-42ba12cd0df6</vt:lpwstr>
  </property>
  <property fmtid="{D5CDD505-2E9C-101B-9397-08002B2CF9AE}" pid="4" name="TaxKeyword">
    <vt:lpwstr/>
  </property>
  <property fmtid="{D5CDD505-2E9C-101B-9397-08002B2CF9AE}" pid="5" name="MMProjectDocumentType">
    <vt:lpwstr/>
  </property>
  <property fmtid="{D5CDD505-2E9C-101B-9397-08002B2CF9AE}" pid="6" name="MMKeyDocument">
    <vt:lpwstr/>
  </property>
</Properties>
</file>